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omments.xml" ContentType="application/vnd.openxmlformats-officedocument.wordprocessingml.comment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commentsExtensible.xml" ContentType="application/vnd.openxmlformats-officedocument.wordprocessingml.commentsExtensible+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0A5A" w14:textId="77777777" w:rsidR="00A73A51" w:rsidRPr="006E04D7" w:rsidRDefault="00A73A51" w:rsidP="00092CEA">
      <w:pPr>
        <w:spacing w:line="360" w:lineRule="auto"/>
        <w:jc w:val="both"/>
        <w:rPr>
          <w:rFonts w:ascii="Times New Roman" w:hAnsi="Times New Roman" w:cs="Times New Roman"/>
          <w:b/>
          <w:sz w:val="24"/>
          <w:szCs w:val="24"/>
        </w:rPr>
      </w:pPr>
    </w:p>
    <w:p w14:paraId="47B3FD8E" w14:textId="77777777" w:rsidR="008E1994" w:rsidRPr="00D96412" w:rsidRDefault="008E1994" w:rsidP="008E1994">
      <w:pPr>
        <w:rPr>
          <w:rFonts w:ascii="Times New Roman" w:hAnsi="Times New Roman" w:cs="Times New Roman"/>
        </w:rPr>
      </w:pPr>
    </w:p>
    <w:p w14:paraId="5F1308C6" w14:textId="77777777" w:rsidR="00D43ACE" w:rsidRPr="00D96412" w:rsidRDefault="00D43ACE" w:rsidP="00D43ACE">
      <w:pPr>
        <w:rPr>
          <w:rFonts w:ascii="Times New Roman" w:hAnsi="Times New Roman" w:cs="Times New Roman"/>
          <w:snapToGrid w:val="0"/>
          <w:lang w:eastAsia="zh-CN"/>
        </w:rPr>
      </w:pPr>
      <w:r w:rsidRPr="00D96412">
        <w:rPr>
          <w:rFonts w:ascii="Times New Roman" w:hAnsi="Times New Roman" w:cs="Times New Roman"/>
        </w:rPr>
        <w:t xml:space="preserve">Project Number: </w:t>
      </w:r>
      <w:r w:rsidRPr="00D96412">
        <w:rPr>
          <w:rFonts w:ascii="Times New Roman" w:hAnsi="Times New Roman" w:cs="Times New Roman"/>
          <w:snapToGrid w:val="0"/>
          <w:lang w:eastAsia="zh-CN"/>
        </w:rPr>
        <w:t>[773713]</w:t>
      </w:r>
    </w:p>
    <w:p w14:paraId="78448C1D" w14:textId="77777777" w:rsidR="00D43ACE" w:rsidRPr="00D96412" w:rsidRDefault="00D43ACE" w:rsidP="00D43ACE">
      <w:pPr>
        <w:rPr>
          <w:rFonts w:ascii="Times New Roman" w:hAnsi="Times New Roman" w:cs="Times New Roman"/>
          <w:snapToGrid w:val="0"/>
          <w:lang w:eastAsia="zh-CN"/>
        </w:rPr>
      </w:pPr>
      <w:r w:rsidRPr="00D96412">
        <w:rPr>
          <w:rFonts w:ascii="Times New Roman" w:hAnsi="Times New Roman" w:cs="Times New Roman"/>
          <w:snapToGrid w:val="0"/>
          <w:lang w:eastAsia="zh-CN"/>
        </w:rPr>
        <w:t>Project Acronym: [PANDORA]</w:t>
      </w:r>
    </w:p>
    <w:p w14:paraId="78C01BDC" w14:textId="77777777" w:rsidR="00D43ACE" w:rsidRPr="00D96412" w:rsidRDefault="00D43ACE" w:rsidP="00D43ACE">
      <w:pPr>
        <w:rPr>
          <w:rFonts w:ascii="Times New Roman" w:hAnsi="Times New Roman" w:cs="Times New Roman"/>
          <w:snapToGrid w:val="0"/>
          <w:lang w:eastAsia="zh-CN"/>
        </w:rPr>
      </w:pPr>
    </w:p>
    <w:tbl>
      <w:tblPr>
        <w:tblStyle w:val="TableGrid"/>
        <w:tblW w:w="0" w:type="auto"/>
        <w:tblLook w:val="04A0" w:firstRow="1" w:lastRow="0" w:firstColumn="1" w:lastColumn="0" w:noHBand="0" w:noVBand="1"/>
      </w:tblPr>
      <w:tblGrid>
        <w:gridCol w:w="2310"/>
        <w:gridCol w:w="2374"/>
        <w:gridCol w:w="2311"/>
        <w:gridCol w:w="2021"/>
      </w:tblGrid>
      <w:tr w:rsidR="00D43ACE" w:rsidRPr="00D96412" w14:paraId="37126081" w14:textId="77777777" w:rsidTr="00D43ACE">
        <w:tc>
          <w:tcPr>
            <w:tcW w:w="2310" w:type="dxa"/>
          </w:tcPr>
          <w:p w14:paraId="7CF9B357" w14:textId="77777777" w:rsidR="00D43ACE" w:rsidRPr="00D96412" w:rsidRDefault="00D43ACE" w:rsidP="00D43ACE">
            <w:pPr>
              <w:rPr>
                <w:rFonts w:ascii="Times New Roman" w:hAnsi="Times New Roman" w:cs="Times New Roman"/>
              </w:rPr>
            </w:pPr>
            <w:r w:rsidRPr="00D96412">
              <w:rPr>
                <w:rFonts w:ascii="Times New Roman" w:hAnsi="Times New Roman" w:cs="Times New Roman"/>
              </w:rPr>
              <w:t xml:space="preserve">Written and prepared by </w:t>
            </w:r>
          </w:p>
        </w:tc>
        <w:tc>
          <w:tcPr>
            <w:tcW w:w="2374" w:type="dxa"/>
          </w:tcPr>
          <w:p w14:paraId="12620A84" w14:textId="77777777" w:rsidR="00D43ACE" w:rsidRPr="00D96412" w:rsidRDefault="00D43ACE" w:rsidP="00D43ACE">
            <w:pPr>
              <w:rPr>
                <w:rFonts w:ascii="Times New Roman" w:hAnsi="Times New Roman" w:cs="Times New Roman"/>
              </w:rPr>
            </w:pPr>
            <w:r w:rsidRPr="00D96412">
              <w:rPr>
                <w:rFonts w:ascii="Times New Roman" w:hAnsi="Times New Roman" w:cs="Times New Roman"/>
              </w:rPr>
              <w:t>Date</w:t>
            </w:r>
          </w:p>
        </w:tc>
        <w:tc>
          <w:tcPr>
            <w:tcW w:w="2311" w:type="dxa"/>
          </w:tcPr>
          <w:p w14:paraId="563A31CF" w14:textId="77777777" w:rsidR="00D43ACE" w:rsidRPr="00D96412" w:rsidRDefault="00D43ACE" w:rsidP="00D43ACE">
            <w:pPr>
              <w:rPr>
                <w:rFonts w:ascii="Times New Roman" w:hAnsi="Times New Roman" w:cs="Times New Roman"/>
              </w:rPr>
            </w:pPr>
            <w:r w:rsidRPr="00D96412">
              <w:rPr>
                <w:rFonts w:ascii="Times New Roman" w:hAnsi="Times New Roman" w:cs="Times New Roman"/>
              </w:rPr>
              <w:t>subject</w:t>
            </w:r>
          </w:p>
        </w:tc>
        <w:tc>
          <w:tcPr>
            <w:tcW w:w="2021" w:type="dxa"/>
          </w:tcPr>
          <w:p w14:paraId="1195B376" w14:textId="77777777" w:rsidR="00D43ACE" w:rsidRPr="00D96412" w:rsidRDefault="00D43ACE" w:rsidP="00D43ACE">
            <w:pPr>
              <w:rPr>
                <w:rFonts w:ascii="Times New Roman" w:hAnsi="Times New Roman" w:cs="Times New Roman"/>
              </w:rPr>
            </w:pPr>
            <w:r w:rsidRPr="00D96412">
              <w:rPr>
                <w:rFonts w:ascii="Times New Roman" w:hAnsi="Times New Roman" w:cs="Times New Roman"/>
              </w:rPr>
              <w:t>Version</w:t>
            </w:r>
          </w:p>
        </w:tc>
      </w:tr>
      <w:tr w:rsidR="00D43ACE" w:rsidRPr="00D96412" w14:paraId="71714483" w14:textId="77777777" w:rsidTr="00D43ACE">
        <w:tc>
          <w:tcPr>
            <w:tcW w:w="2310" w:type="dxa"/>
          </w:tcPr>
          <w:p w14:paraId="570CF5E6" w14:textId="77777777" w:rsidR="00D43ACE" w:rsidRPr="00C52DE0" w:rsidRDefault="00D43ACE" w:rsidP="00D43ACE">
            <w:pPr>
              <w:rPr>
                <w:rFonts w:ascii="Times New Roman" w:hAnsi="Times New Roman" w:cs="Times New Roman"/>
                <w:lang w:val="fr-CA"/>
              </w:rPr>
            </w:pPr>
            <w:r w:rsidRPr="00C52DE0">
              <w:rPr>
                <w:rFonts w:ascii="Times New Roman" w:hAnsi="Times New Roman" w:cs="Times New Roman"/>
                <w:lang w:val="fr-CA"/>
              </w:rPr>
              <w:t>Pierre Failler, Negar Akbari</w:t>
            </w:r>
            <w:r w:rsidR="00D96412" w:rsidRPr="00C52DE0">
              <w:rPr>
                <w:rFonts w:ascii="Times New Roman" w:hAnsi="Times New Roman" w:cs="Times New Roman"/>
                <w:lang w:val="fr-CA"/>
              </w:rPr>
              <w:t xml:space="preserve"> (</w:t>
            </w:r>
            <w:proofErr w:type="spellStart"/>
            <w:r w:rsidR="00D96412" w:rsidRPr="00C52DE0">
              <w:rPr>
                <w:rFonts w:ascii="Times New Roman" w:hAnsi="Times New Roman" w:cs="Times New Roman"/>
                <w:lang w:val="fr-CA"/>
              </w:rPr>
              <w:t>UoP</w:t>
            </w:r>
            <w:proofErr w:type="spellEnd"/>
            <w:r w:rsidR="00D96412" w:rsidRPr="00C52DE0">
              <w:rPr>
                <w:rFonts w:ascii="Times New Roman" w:hAnsi="Times New Roman" w:cs="Times New Roman"/>
                <w:lang w:val="fr-CA"/>
              </w:rPr>
              <w:t>)</w:t>
            </w:r>
          </w:p>
        </w:tc>
        <w:tc>
          <w:tcPr>
            <w:tcW w:w="2374" w:type="dxa"/>
          </w:tcPr>
          <w:p w14:paraId="27426BDF" w14:textId="77777777" w:rsidR="00D43ACE" w:rsidRPr="00D96412" w:rsidRDefault="00D43ACE" w:rsidP="00D43ACE">
            <w:pPr>
              <w:rPr>
                <w:rFonts w:ascii="Times New Roman" w:hAnsi="Times New Roman" w:cs="Times New Roman"/>
              </w:rPr>
            </w:pPr>
            <w:r w:rsidRPr="00D96412">
              <w:rPr>
                <w:rFonts w:ascii="Times New Roman" w:hAnsi="Times New Roman" w:cs="Times New Roman"/>
              </w:rPr>
              <w:t>05.03.2020</w:t>
            </w:r>
          </w:p>
        </w:tc>
        <w:tc>
          <w:tcPr>
            <w:tcW w:w="2311" w:type="dxa"/>
          </w:tcPr>
          <w:p w14:paraId="3A311265" w14:textId="77777777" w:rsidR="00D43ACE" w:rsidRPr="00D96412" w:rsidRDefault="00D43ACE" w:rsidP="00D43ACE">
            <w:pPr>
              <w:rPr>
                <w:rFonts w:ascii="Times New Roman" w:hAnsi="Times New Roman" w:cs="Times New Roman"/>
              </w:rPr>
            </w:pPr>
            <w:r w:rsidRPr="00D96412">
              <w:rPr>
                <w:rFonts w:ascii="Times New Roman" w:hAnsi="Times New Roman" w:cs="Times New Roman"/>
              </w:rPr>
              <w:t>The report is prepared for Work Package 3</w:t>
            </w:r>
            <w:r w:rsidR="00796F9D">
              <w:rPr>
                <w:rFonts w:ascii="Times New Roman" w:hAnsi="Times New Roman" w:cs="Times New Roman"/>
              </w:rPr>
              <w:t xml:space="preserve"> on trends and economic evaluation of Atlantic </w:t>
            </w:r>
            <w:r w:rsidR="00F53D94">
              <w:rPr>
                <w:rFonts w:ascii="Times New Roman" w:hAnsi="Times New Roman" w:cs="Times New Roman"/>
              </w:rPr>
              <w:t>Bluefin</w:t>
            </w:r>
            <w:r w:rsidR="00796F9D">
              <w:rPr>
                <w:rFonts w:ascii="Times New Roman" w:hAnsi="Times New Roman" w:cs="Times New Roman"/>
              </w:rPr>
              <w:t xml:space="preserve"> Tuna</w:t>
            </w:r>
          </w:p>
        </w:tc>
        <w:tc>
          <w:tcPr>
            <w:tcW w:w="2021" w:type="dxa"/>
          </w:tcPr>
          <w:p w14:paraId="079B7201" w14:textId="77777777" w:rsidR="00D43ACE" w:rsidRPr="00D96412" w:rsidRDefault="00D43ACE" w:rsidP="00D43ACE">
            <w:pPr>
              <w:rPr>
                <w:rFonts w:ascii="Times New Roman" w:hAnsi="Times New Roman" w:cs="Times New Roman"/>
              </w:rPr>
            </w:pPr>
            <w:r w:rsidRPr="00D96412">
              <w:rPr>
                <w:rFonts w:ascii="Times New Roman" w:hAnsi="Times New Roman" w:cs="Times New Roman"/>
              </w:rPr>
              <w:t>1</w:t>
            </w:r>
          </w:p>
        </w:tc>
      </w:tr>
      <w:tr w:rsidR="00D43ACE" w:rsidRPr="00D96412" w14:paraId="53105168" w14:textId="77777777" w:rsidTr="00D43ACE">
        <w:tc>
          <w:tcPr>
            <w:tcW w:w="2310" w:type="dxa"/>
          </w:tcPr>
          <w:p w14:paraId="215E3F9E" w14:textId="77777777" w:rsidR="00D43ACE" w:rsidRPr="00D96412" w:rsidRDefault="00D43ACE" w:rsidP="00D43ACE">
            <w:pPr>
              <w:rPr>
                <w:rFonts w:ascii="Times New Roman" w:hAnsi="Times New Roman" w:cs="Times New Roman"/>
              </w:rPr>
            </w:pPr>
          </w:p>
        </w:tc>
        <w:tc>
          <w:tcPr>
            <w:tcW w:w="2374" w:type="dxa"/>
          </w:tcPr>
          <w:p w14:paraId="37BB44C6" w14:textId="77777777" w:rsidR="00D43ACE" w:rsidRPr="00D96412" w:rsidRDefault="00D43ACE" w:rsidP="00D43ACE">
            <w:pPr>
              <w:rPr>
                <w:rFonts w:ascii="Times New Roman" w:hAnsi="Times New Roman" w:cs="Times New Roman"/>
              </w:rPr>
            </w:pPr>
          </w:p>
        </w:tc>
        <w:tc>
          <w:tcPr>
            <w:tcW w:w="2311" w:type="dxa"/>
          </w:tcPr>
          <w:p w14:paraId="264A387F" w14:textId="77777777" w:rsidR="00D43ACE" w:rsidRPr="00D96412" w:rsidRDefault="00D43ACE" w:rsidP="00D43ACE">
            <w:pPr>
              <w:rPr>
                <w:rFonts w:ascii="Times New Roman" w:hAnsi="Times New Roman" w:cs="Times New Roman"/>
              </w:rPr>
            </w:pPr>
          </w:p>
        </w:tc>
        <w:tc>
          <w:tcPr>
            <w:tcW w:w="2021" w:type="dxa"/>
          </w:tcPr>
          <w:p w14:paraId="08662E71" w14:textId="77777777" w:rsidR="00D43ACE" w:rsidRPr="00D96412" w:rsidRDefault="00D43ACE" w:rsidP="00D43ACE">
            <w:pPr>
              <w:rPr>
                <w:rFonts w:ascii="Times New Roman" w:hAnsi="Times New Roman" w:cs="Times New Roman"/>
              </w:rPr>
            </w:pPr>
          </w:p>
        </w:tc>
      </w:tr>
      <w:tr w:rsidR="00D43ACE" w:rsidRPr="00D96412" w14:paraId="595039DF" w14:textId="77777777" w:rsidTr="00D43ACE">
        <w:tc>
          <w:tcPr>
            <w:tcW w:w="2310" w:type="dxa"/>
          </w:tcPr>
          <w:p w14:paraId="340FF100" w14:textId="77777777" w:rsidR="00D43ACE" w:rsidRPr="00D96412" w:rsidRDefault="00D43ACE" w:rsidP="00D43ACE">
            <w:pPr>
              <w:rPr>
                <w:rFonts w:ascii="Times New Roman" w:hAnsi="Times New Roman" w:cs="Times New Roman"/>
              </w:rPr>
            </w:pPr>
          </w:p>
        </w:tc>
        <w:tc>
          <w:tcPr>
            <w:tcW w:w="2374" w:type="dxa"/>
          </w:tcPr>
          <w:p w14:paraId="629D6E41" w14:textId="77777777" w:rsidR="00D43ACE" w:rsidRPr="00D96412" w:rsidRDefault="00D43ACE" w:rsidP="00D43ACE">
            <w:pPr>
              <w:rPr>
                <w:rFonts w:ascii="Times New Roman" w:hAnsi="Times New Roman" w:cs="Times New Roman"/>
              </w:rPr>
            </w:pPr>
          </w:p>
        </w:tc>
        <w:tc>
          <w:tcPr>
            <w:tcW w:w="2311" w:type="dxa"/>
          </w:tcPr>
          <w:p w14:paraId="4C9BAAF9" w14:textId="77777777" w:rsidR="00D43ACE" w:rsidRPr="00D96412" w:rsidRDefault="00D43ACE" w:rsidP="00D43ACE">
            <w:pPr>
              <w:rPr>
                <w:rFonts w:ascii="Times New Roman" w:hAnsi="Times New Roman" w:cs="Times New Roman"/>
              </w:rPr>
            </w:pPr>
          </w:p>
        </w:tc>
        <w:tc>
          <w:tcPr>
            <w:tcW w:w="2021" w:type="dxa"/>
          </w:tcPr>
          <w:p w14:paraId="0AFAF9DD" w14:textId="77777777" w:rsidR="00D43ACE" w:rsidRPr="00D96412" w:rsidRDefault="00D43ACE" w:rsidP="00D43ACE">
            <w:pPr>
              <w:rPr>
                <w:rFonts w:ascii="Times New Roman" w:hAnsi="Times New Roman" w:cs="Times New Roman"/>
              </w:rPr>
            </w:pPr>
          </w:p>
        </w:tc>
      </w:tr>
    </w:tbl>
    <w:p w14:paraId="75C90EC1" w14:textId="77777777" w:rsidR="00D43ACE" w:rsidRDefault="00D43ACE" w:rsidP="00D43ACE"/>
    <w:p w14:paraId="3D47EDC9" w14:textId="77777777" w:rsidR="00D43ACE" w:rsidRDefault="00D43ACE" w:rsidP="00D43ACE"/>
    <w:p w14:paraId="0B7A129D" w14:textId="77777777" w:rsidR="00D43ACE" w:rsidRDefault="00D43ACE" w:rsidP="00092CEA">
      <w:pPr>
        <w:spacing w:line="360" w:lineRule="auto"/>
        <w:jc w:val="both"/>
      </w:pPr>
    </w:p>
    <w:p w14:paraId="6528B54C" w14:textId="77777777" w:rsidR="00D8438E" w:rsidRDefault="00D8438E" w:rsidP="00092CEA">
      <w:pPr>
        <w:spacing w:line="360" w:lineRule="auto"/>
        <w:jc w:val="both"/>
      </w:pPr>
    </w:p>
    <w:p w14:paraId="65C02183" w14:textId="77777777" w:rsidR="00D8438E" w:rsidRDefault="00D8438E" w:rsidP="00092CEA">
      <w:pPr>
        <w:spacing w:line="360" w:lineRule="auto"/>
        <w:jc w:val="both"/>
      </w:pPr>
    </w:p>
    <w:p w14:paraId="16D296ED" w14:textId="77777777" w:rsidR="00D8438E" w:rsidRDefault="00D8438E" w:rsidP="00092CEA">
      <w:pPr>
        <w:spacing w:line="360" w:lineRule="auto"/>
        <w:jc w:val="both"/>
        <w:rPr>
          <w:rFonts w:ascii="Times New Roman" w:hAnsi="Times New Roman" w:cs="Times New Roman"/>
          <w:sz w:val="24"/>
          <w:szCs w:val="24"/>
        </w:rPr>
      </w:pPr>
    </w:p>
    <w:p w14:paraId="27F4D100" w14:textId="77777777" w:rsidR="00D43ACE" w:rsidRDefault="00D43ACE" w:rsidP="00092CEA">
      <w:pPr>
        <w:spacing w:line="360" w:lineRule="auto"/>
        <w:jc w:val="both"/>
        <w:rPr>
          <w:rFonts w:ascii="Times New Roman" w:hAnsi="Times New Roman" w:cs="Times New Roman"/>
          <w:sz w:val="24"/>
          <w:szCs w:val="24"/>
        </w:rPr>
      </w:pPr>
    </w:p>
    <w:p w14:paraId="7602AABD" w14:textId="77777777" w:rsidR="00D43ACE" w:rsidRDefault="00D43ACE" w:rsidP="00092CEA">
      <w:pPr>
        <w:spacing w:line="360" w:lineRule="auto"/>
        <w:jc w:val="both"/>
        <w:rPr>
          <w:rFonts w:ascii="Times New Roman" w:hAnsi="Times New Roman" w:cs="Times New Roman"/>
          <w:sz w:val="24"/>
          <w:szCs w:val="24"/>
        </w:rPr>
      </w:pPr>
    </w:p>
    <w:p w14:paraId="5F5D0846" w14:textId="77777777" w:rsidR="00D43ACE" w:rsidRDefault="00D43ACE" w:rsidP="00092CEA">
      <w:pPr>
        <w:spacing w:line="360" w:lineRule="auto"/>
        <w:jc w:val="both"/>
        <w:rPr>
          <w:rFonts w:ascii="Times New Roman" w:hAnsi="Times New Roman" w:cs="Times New Roman"/>
          <w:sz w:val="24"/>
          <w:szCs w:val="24"/>
        </w:rPr>
      </w:pPr>
    </w:p>
    <w:p w14:paraId="0F1349C3" w14:textId="77777777" w:rsidR="00D43ACE" w:rsidRDefault="00D43ACE" w:rsidP="00092CEA">
      <w:pPr>
        <w:spacing w:line="360" w:lineRule="auto"/>
        <w:jc w:val="both"/>
        <w:rPr>
          <w:rFonts w:ascii="Times New Roman" w:hAnsi="Times New Roman" w:cs="Times New Roman"/>
          <w:sz w:val="24"/>
          <w:szCs w:val="24"/>
        </w:rPr>
      </w:pPr>
    </w:p>
    <w:p w14:paraId="720179A1" w14:textId="77777777" w:rsidR="00D43ACE" w:rsidRDefault="00D43ACE" w:rsidP="00092CEA">
      <w:pPr>
        <w:spacing w:line="360" w:lineRule="auto"/>
        <w:jc w:val="both"/>
        <w:rPr>
          <w:rFonts w:ascii="Times New Roman" w:hAnsi="Times New Roman" w:cs="Times New Roman"/>
          <w:sz w:val="24"/>
          <w:szCs w:val="24"/>
        </w:rPr>
      </w:pPr>
    </w:p>
    <w:p w14:paraId="3DA413BE" w14:textId="77777777" w:rsidR="00D43ACE" w:rsidRDefault="00D43ACE" w:rsidP="00092CEA">
      <w:pPr>
        <w:spacing w:line="360" w:lineRule="auto"/>
        <w:jc w:val="both"/>
        <w:rPr>
          <w:rFonts w:ascii="Times New Roman" w:hAnsi="Times New Roman" w:cs="Times New Roman"/>
          <w:sz w:val="24"/>
          <w:szCs w:val="24"/>
        </w:rPr>
      </w:pPr>
    </w:p>
    <w:p w14:paraId="5A963C69" w14:textId="77777777" w:rsidR="00D43ACE" w:rsidRDefault="00D43ACE" w:rsidP="00092CEA">
      <w:pPr>
        <w:spacing w:line="360" w:lineRule="auto"/>
        <w:jc w:val="both"/>
        <w:rPr>
          <w:rFonts w:ascii="Times New Roman" w:hAnsi="Times New Roman" w:cs="Times New Roman"/>
          <w:sz w:val="24"/>
          <w:szCs w:val="24"/>
        </w:rPr>
      </w:pPr>
    </w:p>
    <w:p w14:paraId="5098608F" w14:textId="77777777" w:rsidR="00D43ACE" w:rsidRDefault="00D43ACE" w:rsidP="00092CEA">
      <w:pPr>
        <w:spacing w:line="360" w:lineRule="auto"/>
        <w:jc w:val="both"/>
        <w:rPr>
          <w:rFonts w:ascii="Times New Roman" w:hAnsi="Times New Roman" w:cs="Times New Roman"/>
          <w:sz w:val="24"/>
          <w:szCs w:val="24"/>
        </w:rPr>
      </w:pPr>
    </w:p>
    <w:p w14:paraId="00BD34AE" w14:textId="77777777" w:rsidR="00D8438E" w:rsidRDefault="00D8438E" w:rsidP="00092CEA">
      <w:pPr>
        <w:spacing w:line="360" w:lineRule="auto"/>
        <w:jc w:val="both"/>
        <w:rPr>
          <w:rFonts w:ascii="Times New Roman" w:hAnsi="Times New Roman" w:cs="Times New Roman"/>
          <w:sz w:val="24"/>
          <w:szCs w:val="24"/>
        </w:rPr>
      </w:pPr>
    </w:p>
    <w:p w14:paraId="759AABCF" w14:textId="77777777" w:rsidR="007A1451" w:rsidRPr="00D43ACE" w:rsidRDefault="00D43ACE" w:rsidP="00D43ACE">
      <w:pPr>
        <w:pStyle w:val="Title"/>
        <w:jc w:val="center"/>
        <w:rPr>
          <w:rFonts w:ascii="Times New Roman" w:hAnsi="Times New Roman" w:cs="Times New Roman"/>
          <w:sz w:val="44"/>
          <w:szCs w:val="44"/>
        </w:rPr>
      </w:pPr>
      <w:r>
        <w:rPr>
          <w:rFonts w:ascii="Times New Roman" w:hAnsi="Times New Roman" w:cs="Times New Roman"/>
          <w:sz w:val="44"/>
          <w:szCs w:val="44"/>
        </w:rPr>
        <w:lastRenderedPageBreak/>
        <w:t xml:space="preserve">A review on the Atlantic </w:t>
      </w:r>
      <w:r w:rsidR="00F53D94">
        <w:rPr>
          <w:rFonts w:ascii="Times New Roman" w:hAnsi="Times New Roman" w:cs="Times New Roman"/>
          <w:sz w:val="44"/>
          <w:szCs w:val="44"/>
        </w:rPr>
        <w:t>Bluefin</w:t>
      </w:r>
      <w:r>
        <w:rPr>
          <w:rFonts w:ascii="Times New Roman" w:hAnsi="Times New Roman" w:cs="Times New Roman"/>
          <w:sz w:val="44"/>
          <w:szCs w:val="44"/>
        </w:rPr>
        <w:t xml:space="preserve"> Tuna</w:t>
      </w:r>
    </w:p>
    <w:p w14:paraId="49BE11AC" w14:textId="77777777" w:rsidR="00EE44E1" w:rsidRPr="006E04D7" w:rsidRDefault="00EE44E1" w:rsidP="009362CA">
      <w:pPr>
        <w:pStyle w:val="Heading1"/>
        <w:numPr>
          <w:ilvl w:val="0"/>
          <w:numId w:val="0"/>
        </w:numPr>
        <w:spacing w:line="360" w:lineRule="auto"/>
        <w:ind w:left="360" w:hanging="360"/>
        <w:rPr>
          <w:rFonts w:ascii="Times New Roman" w:hAnsi="Times New Roman" w:cs="Times New Roman"/>
        </w:rPr>
      </w:pPr>
      <w:r w:rsidRPr="006E04D7">
        <w:rPr>
          <w:rFonts w:ascii="Times New Roman" w:hAnsi="Times New Roman" w:cs="Times New Roman"/>
        </w:rPr>
        <w:t>Introduction</w:t>
      </w:r>
    </w:p>
    <w:p w14:paraId="1BB8C10A" w14:textId="77777777" w:rsidR="00FA10BC" w:rsidRPr="006E04D7" w:rsidRDefault="00FA10BC"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Tuna is one</w:t>
      </w:r>
      <w:r w:rsidR="002514F2" w:rsidRPr="006E04D7">
        <w:rPr>
          <w:rFonts w:ascii="Times New Roman" w:hAnsi="Times New Roman" w:cs="Times New Roman"/>
          <w:sz w:val="24"/>
          <w:szCs w:val="24"/>
        </w:rPr>
        <w:t xml:space="preserve"> of</w:t>
      </w:r>
      <w:r w:rsidRPr="006E04D7">
        <w:rPr>
          <w:rFonts w:ascii="Times New Roman" w:hAnsi="Times New Roman" w:cs="Times New Roman"/>
          <w:sz w:val="24"/>
          <w:szCs w:val="24"/>
        </w:rPr>
        <w:t xml:space="preserve"> the oceanic top predators and plays a significant role in the ma</w:t>
      </w:r>
      <w:r w:rsidR="002514F2" w:rsidRPr="006E04D7">
        <w:rPr>
          <w:rFonts w:ascii="Times New Roman" w:hAnsi="Times New Roman" w:cs="Times New Roman"/>
          <w:sz w:val="24"/>
          <w:szCs w:val="24"/>
        </w:rPr>
        <w:t>rine ecosystems</w:t>
      </w:r>
      <w:r w:rsidRPr="006E04D7">
        <w:rPr>
          <w:rFonts w:ascii="Times New Roman" w:hAnsi="Times New Roman" w:cs="Times New Roman"/>
          <w:sz w:val="24"/>
          <w:szCs w:val="24"/>
        </w:rPr>
        <w:t xml:space="preserve"> comprising nearly 20</w:t>
      </w:r>
      <w:proofErr w:type="gramStart"/>
      <w:r w:rsidRPr="006E04D7">
        <w:rPr>
          <w:rFonts w:ascii="Times New Roman" w:hAnsi="Times New Roman" w:cs="Times New Roman"/>
          <w:sz w:val="24"/>
          <w:szCs w:val="24"/>
        </w:rPr>
        <w:t>%  of</w:t>
      </w:r>
      <w:proofErr w:type="gramEnd"/>
      <w:r w:rsidRPr="006E04D7">
        <w:rPr>
          <w:rFonts w:ascii="Times New Roman" w:hAnsi="Times New Roman" w:cs="Times New Roman"/>
          <w:sz w:val="24"/>
          <w:szCs w:val="24"/>
        </w:rPr>
        <w:t xml:space="preserve"> the value of capture fisheries.</w:t>
      </w:r>
      <w:r w:rsidR="00255315" w:rsidRPr="006E04D7">
        <w:rPr>
          <w:rFonts w:ascii="Times New Roman" w:hAnsi="Times New Roman" w:cs="Times New Roman"/>
          <w:sz w:val="24"/>
          <w:szCs w:val="24"/>
        </w:rPr>
        <w:t xml:space="preserve"> The main commercial species of tuna are the Atlantic </w:t>
      </w:r>
      <w:r w:rsidR="00F53D94">
        <w:rPr>
          <w:rFonts w:ascii="Times New Roman" w:hAnsi="Times New Roman" w:cs="Times New Roman"/>
          <w:sz w:val="24"/>
          <w:szCs w:val="24"/>
        </w:rPr>
        <w:t>bluefin</w:t>
      </w:r>
      <w:r w:rsidR="00255315" w:rsidRPr="006E04D7">
        <w:rPr>
          <w:rFonts w:ascii="Times New Roman" w:hAnsi="Times New Roman" w:cs="Times New Roman"/>
          <w:sz w:val="24"/>
          <w:szCs w:val="24"/>
        </w:rPr>
        <w:t xml:space="preserve">, southern </w:t>
      </w:r>
      <w:r w:rsidR="00F53D94">
        <w:rPr>
          <w:rFonts w:ascii="Times New Roman" w:hAnsi="Times New Roman" w:cs="Times New Roman"/>
          <w:sz w:val="24"/>
          <w:szCs w:val="24"/>
        </w:rPr>
        <w:t>bluefin</w:t>
      </w:r>
      <w:r w:rsidR="00255315" w:rsidRPr="006E04D7">
        <w:rPr>
          <w:rFonts w:ascii="Times New Roman" w:hAnsi="Times New Roman" w:cs="Times New Roman"/>
          <w:sz w:val="24"/>
          <w:szCs w:val="24"/>
        </w:rPr>
        <w:t>, albacore, bigeye, yellowfin and skipjack</w:t>
      </w:r>
      <w:r w:rsidR="00F7462C" w:rsidRPr="006E04D7">
        <w:rPr>
          <w:rFonts w:ascii="Times New Roman" w:hAnsi="Times New Roman" w:cs="Times New Roman"/>
          <w:sz w:val="24"/>
          <w:szCs w:val="24"/>
        </w:rPr>
        <w:t xml:space="preserve"> </w:t>
      </w:r>
      <w:r w:rsidR="00F7462C" w:rsidRPr="006E04D7">
        <w:rPr>
          <w:rFonts w:ascii="Times New Roman" w:hAnsi="Times New Roman" w:cs="Times New Roman"/>
          <w:sz w:val="24"/>
          <w:szCs w:val="24"/>
        </w:rPr>
        <w:fldChar w:fldCharType="begin"/>
      </w:r>
      <w:r w:rsidR="00F7462C" w:rsidRPr="006E04D7">
        <w:rPr>
          <w:rFonts w:ascii="Times New Roman" w:hAnsi="Times New Roman" w:cs="Times New Roman"/>
          <w:sz w:val="24"/>
          <w:szCs w:val="24"/>
        </w:rPr>
        <w:instrText xml:space="preserve"> ADDIN EN.CITE &lt;EndNote&gt;&lt;Cite&gt;&lt;Author&gt;Reygondeau&lt;/Author&gt;&lt;Year&gt;2011&lt;/Year&gt;&lt;RecNum&gt;264&lt;/RecNum&gt;&lt;DisplayText&gt;[1]&lt;/DisplayText&gt;&lt;record&gt;&lt;rec-number&gt;264&lt;/rec-number&gt;&lt;foreign-keys&gt;&lt;key app="EN" db-id="wffdwdt97adpw0eeedr5t2wbdwf5etardpas"&gt;264&lt;/key&gt;&lt;/foreign-keys&gt;&lt;ref-type name="Journal Article"&gt;17&lt;/ref-type&gt;&lt;contributors&gt;&lt;authors&gt;&lt;author&gt;Reygondeau, G. &lt;/author&gt;&lt;author&gt;Maury, O. &lt;/author&gt;&lt;author&gt;Beaugrand, G.&lt;/author&gt;&lt;author&gt;Fromentin, J. M. &lt;/author&gt;&lt;author&gt;Fonteneau, A. &lt;/author&gt;&lt;/authors&gt;&lt;/contributors&gt;&lt;titles&gt;&lt;title&gt;Biogeography of tuna and billfish communities&lt;/title&gt;&lt;secondary-title&gt;Journal of Biogeography&lt;/secondary-title&gt;&lt;/titles&gt;&lt;periodical&gt;&lt;full-title&gt;Journal of Biogeography&lt;/full-title&gt;&lt;/periodical&gt;&lt;pages&gt;114-129&lt;/pages&gt;&lt;volume&gt;39&lt;/volume&gt;&lt;dates&gt;&lt;year&gt;2011&lt;/year&gt;&lt;/dates&gt;&lt;urls&gt;&lt;/urls&gt;&lt;/record&gt;&lt;/Cite&gt;&lt;/EndNote&gt;</w:instrText>
      </w:r>
      <w:r w:rsidR="00F7462C" w:rsidRPr="006E04D7">
        <w:rPr>
          <w:rFonts w:ascii="Times New Roman" w:hAnsi="Times New Roman" w:cs="Times New Roman"/>
          <w:sz w:val="24"/>
          <w:szCs w:val="24"/>
        </w:rPr>
        <w:fldChar w:fldCharType="separate"/>
      </w:r>
      <w:r w:rsidR="00F7462C" w:rsidRPr="006E04D7">
        <w:rPr>
          <w:rFonts w:ascii="Times New Roman" w:hAnsi="Times New Roman" w:cs="Times New Roman"/>
          <w:noProof/>
          <w:sz w:val="24"/>
          <w:szCs w:val="24"/>
        </w:rPr>
        <w:t>[</w:t>
      </w:r>
      <w:hyperlink w:anchor="_ENREF_1" w:tooltip="Reygondeau, 2011 #264" w:history="1">
        <w:r w:rsidR="00CB2334" w:rsidRPr="006E04D7">
          <w:rPr>
            <w:rFonts w:ascii="Times New Roman" w:hAnsi="Times New Roman" w:cs="Times New Roman"/>
            <w:noProof/>
            <w:sz w:val="24"/>
            <w:szCs w:val="24"/>
          </w:rPr>
          <w:t>1</w:t>
        </w:r>
      </w:hyperlink>
      <w:r w:rsidR="00F7462C" w:rsidRPr="006E04D7">
        <w:rPr>
          <w:rFonts w:ascii="Times New Roman" w:hAnsi="Times New Roman" w:cs="Times New Roman"/>
          <w:noProof/>
          <w:sz w:val="24"/>
          <w:szCs w:val="24"/>
        </w:rPr>
        <w:t>]</w:t>
      </w:r>
      <w:r w:rsidR="00F7462C" w:rsidRPr="006E04D7">
        <w:rPr>
          <w:rFonts w:ascii="Times New Roman" w:hAnsi="Times New Roman" w:cs="Times New Roman"/>
          <w:sz w:val="24"/>
          <w:szCs w:val="24"/>
        </w:rPr>
        <w:fldChar w:fldCharType="end"/>
      </w:r>
      <w:r w:rsidR="00255315" w:rsidRPr="006E04D7">
        <w:rPr>
          <w:rFonts w:ascii="Times New Roman" w:hAnsi="Times New Roman" w:cs="Times New Roman"/>
          <w:sz w:val="24"/>
          <w:szCs w:val="24"/>
        </w:rPr>
        <w:t>. These species are the pre</w:t>
      </w:r>
      <w:r w:rsidR="002514F2" w:rsidRPr="006E04D7">
        <w:rPr>
          <w:rFonts w:ascii="Times New Roman" w:hAnsi="Times New Roman" w:cs="Times New Roman"/>
          <w:sz w:val="24"/>
          <w:szCs w:val="24"/>
        </w:rPr>
        <w:t>dators of the pelagic ecosystem</w:t>
      </w:r>
      <w:r w:rsidR="00255315" w:rsidRPr="006E04D7">
        <w:rPr>
          <w:rFonts w:ascii="Times New Roman" w:hAnsi="Times New Roman" w:cs="Times New Roman"/>
          <w:sz w:val="24"/>
          <w:szCs w:val="24"/>
        </w:rPr>
        <w:t xml:space="preserve"> and are highly migratory with their distribution covering most of the tropical and temperate areas around the globe. </w:t>
      </w:r>
    </w:p>
    <w:p w14:paraId="19D25009" w14:textId="67323295" w:rsidR="00EE44E1" w:rsidRPr="006E04D7" w:rsidRDefault="00D1211F" w:rsidP="00F65F53">
      <w:pPr>
        <w:spacing w:line="360" w:lineRule="auto"/>
        <w:jc w:val="both"/>
        <w:rPr>
          <w:rFonts w:ascii="Times New Roman" w:hAnsi="Times New Roman" w:cs="Times New Roman"/>
        </w:rPr>
      </w:pPr>
      <w:r w:rsidRPr="006E04D7">
        <w:rPr>
          <w:rFonts w:ascii="Times New Roman" w:hAnsi="Times New Roman" w:cs="Times New Roman"/>
          <w:sz w:val="24"/>
          <w:szCs w:val="24"/>
        </w:rPr>
        <w:t xml:space="preserve">The Atlantic </w:t>
      </w:r>
      <w:r w:rsidR="00F53D94">
        <w:rPr>
          <w:rFonts w:ascii="Times New Roman" w:hAnsi="Times New Roman" w:cs="Times New Roman"/>
          <w:sz w:val="24"/>
          <w:szCs w:val="24"/>
        </w:rPr>
        <w:t>Bluefin</w:t>
      </w:r>
      <w:r w:rsidRPr="006E04D7">
        <w:rPr>
          <w:rFonts w:ascii="Times New Roman" w:hAnsi="Times New Roman" w:cs="Times New Roman"/>
          <w:sz w:val="24"/>
          <w:szCs w:val="24"/>
        </w:rPr>
        <w:t xml:space="preserve"> tuna</w:t>
      </w:r>
      <w:r w:rsidR="00CE7A7F" w:rsidRPr="006E04D7">
        <w:rPr>
          <w:rFonts w:ascii="Times New Roman" w:hAnsi="Times New Roman" w:cs="Times New Roman"/>
          <w:sz w:val="24"/>
          <w:szCs w:val="24"/>
        </w:rPr>
        <w:t xml:space="preserve"> (hereafter referred to as BFT)</w:t>
      </w:r>
      <w:r w:rsidRPr="006E04D7">
        <w:rPr>
          <w:rFonts w:ascii="Times New Roman" w:hAnsi="Times New Roman" w:cs="Times New Roman"/>
          <w:sz w:val="24"/>
          <w:szCs w:val="24"/>
        </w:rPr>
        <w:t xml:space="preserve"> is the largest species of tuna and one of the most highly priced fish species in the world. Bluefin fishing in the Mediterranean Sea has been a common practice for millennia and it takes advantage of the reproductive migration of the species from the foraging grounds in the Atlantic to the spawning areas in spring </w:t>
      </w:r>
      <w:r w:rsidRPr="006E04D7">
        <w:rPr>
          <w:rFonts w:ascii="Times New Roman" w:hAnsi="Times New Roman" w:cs="Times New Roman"/>
          <w:sz w:val="24"/>
          <w:szCs w:val="24"/>
        </w:rPr>
        <w:fldChar w:fldCharType="begin"/>
      </w:r>
      <w:r w:rsidR="00F7462C" w:rsidRPr="006E04D7">
        <w:rPr>
          <w:rFonts w:ascii="Times New Roman" w:hAnsi="Times New Roman" w:cs="Times New Roman"/>
          <w:sz w:val="24"/>
          <w:szCs w:val="24"/>
        </w:rPr>
        <w:instrText xml:space="preserve"> ADDIN EN.CITE &lt;EndNote&gt;&lt;Cite&gt;&lt;Author&gt;Abascal&lt;/Author&gt;&lt;Year&gt;2016&lt;/Year&gt;&lt;RecNum&gt;268&lt;/RecNum&gt;&lt;DisplayText&gt;[2]&lt;/DisplayText&gt;&lt;record&gt;&lt;rec-number&gt;268&lt;/rec-number&gt;&lt;foreign-keys&gt;&lt;key app="EN" db-id="wffdwdt97adpw0eeedr5t2wbdwf5etardpas"&gt;268&lt;/key&gt;&lt;/foreign-keys&gt;&lt;ref-type name="Journal Article"&gt;17&lt;/ref-type&gt;&lt;contributors&gt;&lt;authors&gt;&lt;author&gt;Abascal, F. J. &lt;/author&gt;&lt;author&gt;Medina, A. &lt;/author&gt;&lt;author&gt;Serna, J. M. &lt;/author&gt;&lt;author&gt;Godoy, D. &lt;/author&gt;&lt;author&gt;Aranda, G.&lt;/author&gt;&lt;/authors&gt;&lt;/contributors&gt;&lt;titles&gt;&lt;title&gt;Tracking bluefin tuna reproductive migration into the Mediterranean Sea with electronic pop-up satellite archival tags using two tagging procedures&lt;/title&gt;&lt;secondary-title&gt;Fisheries Oceanography&lt;/secondary-title&gt;&lt;/titles&gt;&lt;periodical&gt;&lt;full-title&gt;Fisheries Oceanography&lt;/full-title&gt;&lt;/periodical&gt;&lt;pages&gt;54-66&lt;/pages&gt;&lt;volume&gt;25&lt;/volume&gt;&lt;number&gt;1&lt;/number&gt;&lt;dates&gt;&lt;year&gt;2016&lt;/year&gt;&lt;/dates&gt;&lt;urls&gt;&lt;/urls&gt;&lt;/record&gt;&lt;/Cite&gt;&lt;/EndNote&gt;</w:instrText>
      </w:r>
      <w:r w:rsidRPr="006E04D7">
        <w:rPr>
          <w:rFonts w:ascii="Times New Roman" w:hAnsi="Times New Roman" w:cs="Times New Roman"/>
          <w:sz w:val="24"/>
          <w:szCs w:val="24"/>
        </w:rPr>
        <w:fldChar w:fldCharType="separate"/>
      </w:r>
      <w:r w:rsidR="00F7462C" w:rsidRPr="006E04D7">
        <w:rPr>
          <w:rFonts w:ascii="Times New Roman" w:hAnsi="Times New Roman" w:cs="Times New Roman"/>
          <w:noProof/>
          <w:sz w:val="24"/>
          <w:szCs w:val="24"/>
        </w:rPr>
        <w:t>[</w:t>
      </w:r>
      <w:hyperlink w:anchor="_ENREF_2" w:tooltip="Abascal, 2016 #268" w:history="1">
        <w:r w:rsidR="00CB2334" w:rsidRPr="006E04D7">
          <w:rPr>
            <w:rFonts w:ascii="Times New Roman" w:hAnsi="Times New Roman" w:cs="Times New Roman"/>
            <w:noProof/>
            <w:sz w:val="24"/>
            <w:szCs w:val="24"/>
          </w:rPr>
          <w:t>2</w:t>
        </w:r>
      </w:hyperlink>
      <w:r w:rsidR="00F7462C"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The development of deep freezing storage and enhanced farming techniques have been lucrative for fisheries and resulted in a significant increase in catches leading to an overexploitation of the eastern </w:t>
      </w:r>
      <w:r w:rsidR="00F53D94">
        <w:rPr>
          <w:rFonts w:ascii="Times New Roman" w:hAnsi="Times New Roman" w:cs="Times New Roman"/>
          <w:sz w:val="24"/>
          <w:szCs w:val="24"/>
        </w:rPr>
        <w:t>bluefin</w:t>
      </w:r>
      <w:r w:rsidRPr="006E04D7">
        <w:rPr>
          <w:rFonts w:ascii="Times New Roman" w:hAnsi="Times New Roman" w:cs="Times New Roman"/>
          <w:sz w:val="24"/>
          <w:szCs w:val="24"/>
        </w:rPr>
        <w:t xml:space="preserve"> tuna stock </w:t>
      </w:r>
      <w:r w:rsidRPr="006E04D7">
        <w:rPr>
          <w:rFonts w:ascii="Times New Roman" w:hAnsi="Times New Roman" w:cs="Times New Roman"/>
          <w:sz w:val="24"/>
          <w:szCs w:val="24"/>
        </w:rPr>
        <w:fldChar w:fldCharType="begin"/>
      </w:r>
      <w:r w:rsidR="00F7462C" w:rsidRPr="006E04D7">
        <w:rPr>
          <w:rFonts w:ascii="Times New Roman" w:hAnsi="Times New Roman" w:cs="Times New Roman"/>
          <w:sz w:val="24"/>
          <w:szCs w:val="24"/>
        </w:rPr>
        <w:instrText xml:space="preserve"> ADDIN EN.CITE &lt;EndNote&gt;&lt;Cite&gt;&lt;Author&gt;Fromentin&lt;/Author&gt;&lt;Year&gt;2009&lt;/Year&gt;&lt;RecNum&gt;267&lt;/RecNum&gt;&lt;DisplayText&gt;[3]&lt;/DisplayText&gt;&lt;record&gt;&lt;rec-number&gt;267&lt;/rec-number&gt;&lt;foreign-keys&gt;&lt;key app="EN" db-id="wffdwdt97adpw0eeedr5t2wbdwf5etardpas"&gt;267&lt;/key&gt;&lt;/foreign-keys&gt;&lt;ref-type name="Journal Article"&gt;17&lt;/ref-type&gt;&lt;contributors&gt;&lt;authors&gt;&lt;author&gt;Fromentin, J. M.&lt;/author&gt;&lt;/authors&gt;&lt;/contributors&gt;&lt;titles&gt;&lt;title&gt;Lessons from the past: investigating historical data frombluefin tuna fisheries&lt;/title&gt;&lt;secondary-title&gt;Fish and Fisheries&lt;/secondary-title&gt;&lt;/titles&gt;&lt;periodical&gt;&lt;full-title&gt;Fish and Fisheries&lt;/full-title&gt;&lt;/periodical&gt;&lt;pages&gt;197-216&lt;/pages&gt;&lt;volume&gt;10&lt;/volume&gt;&lt;dates&gt;&lt;year&gt;2009&lt;/year&gt;&lt;/dates&gt;&lt;urls&gt;&lt;/urls&gt;&lt;/record&gt;&lt;/Cite&gt;&lt;/EndNote&gt;</w:instrText>
      </w:r>
      <w:r w:rsidRPr="006E04D7">
        <w:rPr>
          <w:rFonts w:ascii="Times New Roman" w:hAnsi="Times New Roman" w:cs="Times New Roman"/>
          <w:sz w:val="24"/>
          <w:szCs w:val="24"/>
        </w:rPr>
        <w:fldChar w:fldCharType="separate"/>
      </w:r>
      <w:r w:rsidR="00F7462C" w:rsidRPr="006E04D7">
        <w:rPr>
          <w:rFonts w:ascii="Times New Roman" w:hAnsi="Times New Roman" w:cs="Times New Roman"/>
          <w:noProof/>
          <w:sz w:val="24"/>
          <w:szCs w:val="24"/>
        </w:rPr>
        <w:t>[</w:t>
      </w:r>
      <w:hyperlink w:anchor="_ENREF_3" w:tooltip="Fromentin, 2009 #267" w:history="1">
        <w:r w:rsidR="00CB2334" w:rsidRPr="006E04D7">
          <w:rPr>
            <w:rFonts w:ascii="Times New Roman" w:hAnsi="Times New Roman" w:cs="Times New Roman"/>
            <w:noProof/>
            <w:sz w:val="24"/>
            <w:szCs w:val="24"/>
          </w:rPr>
          <w:t>3</w:t>
        </w:r>
      </w:hyperlink>
      <w:r w:rsidR="00F7462C"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w:t>
      </w:r>
      <w:r w:rsidR="00887BCB" w:rsidRPr="006E04D7">
        <w:rPr>
          <w:rFonts w:ascii="Times New Roman" w:hAnsi="Times New Roman" w:cs="Times New Roman"/>
          <w:sz w:val="24"/>
          <w:szCs w:val="24"/>
        </w:rPr>
        <w:t xml:space="preserve">Furthermore, Studies show that sustainable fishing practices are not merely related to the management of the effort intensity, rather the life history traits of the exploited species are also important. Factors such as late age-at-maturity, low rate of population increase, large size, and slow growth could make the species more vulnerable to over-exploitation and increase the rate of decline. Contrasting the two groups of </w:t>
      </w:r>
      <w:proofErr w:type="spellStart"/>
      <w:r w:rsidR="00887BCB" w:rsidRPr="006E04D7">
        <w:rPr>
          <w:rFonts w:ascii="Times New Roman" w:hAnsi="Times New Roman" w:cs="Times New Roman"/>
          <w:sz w:val="24"/>
          <w:szCs w:val="24"/>
        </w:rPr>
        <w:t>temporate</w:t>
      </w:r>
      <w:proofErr w:type="spellEnd"/>
      <w:r w:rsidR="00887BCB" w:rsidRPr="006E04D7">
        <w:rPr>
          <w:rFonts w:ascii="Times New Roman" w:hAnsi="Times New Roman" w:cs="Times New Roman"/>
          <w:sz w:val="24"/>
          <w:szCs w:val="24"/>
        </w:rPr>
        <w:t xml:space="preserve"> and tropical tuna, the tropical tunas exhibit rapid growth, early maturity, continuous spawning, short life span, limited maximum size and distribution restricted to warm waters. The eastern Bluefin tuna however, belongs to the temperate tuna group which is characterised by relatively slower growth compared to other tuna and tuna like species, later maturity(c. 4 years) shorter spawning season (c. 2 months), longer life span (&gt;20 </w:t>
      </w:r>
      <w:proofErr w:type="spellStart"/>
      <w:r w:rsidR="00887BCB" w:rsidRPr="006E04D7">
        <w:rPr>
          <w:rFonts w:ascii="Times New Roman" w:hAnsi="Times New Roman" w:cs="Times New Roman"/>
          <w:sz w:val="24"/>
          <w:szCs w:val="24"/>
        </w:rPr>
        <w:t>yrs</w:t>
      </w:r>
      <w:proofErr w:type="spellEnd"/>
      <w:r w:rsidR="00887BCB" w:rsidRPr="006E04D7">
        <w:rPr>
          <w:rFonts w:ascii="Times New Roman" w:hAnsi="Times New Roman" w:cs="Times New Roman"/>
          <w:sz w:val="24"/>
          <w:szCs w:val="24"/>
        </w:rPr>
        <w:t xml:space="preserve">) and large size (&gt;3 meters) </w:t>
      </w:r>
      <w:r w:rsidR="00887BCB" w:rsidRPr="006E04D7">
        <w:rPr>
          <w:rFonts w:ascii="Times New Roman" w:hAnsi="Times New Roman" w:cs="Times New Roman"/>
          <w:sz w:val="24"/>
          <w:szCs w:val="24"/>
        </w:rPr>
        <w:fldChar w:fldCharType="begin"/>
      </w:r>
      <w:r w:rsidR="00887BCB" w:rsidRPr="006E04D7">
        <w:rPr>
          <w:rFonts w:ascii="Times New Roman" w:hAnsi="Times New Roman" w:cs="Times New Roman"/>
          <w:sz w:val="24"/>
          <w:szCs w:val="24"/>
        </w:rPr>
        <w:instrText xml:space="preserve"> ADDIN EN.CITE &lt;EndNote&gt;&lt;Cite&gt;&lt;Author&gt;Fromentin&lt;/Author&gt;&lt;Year&gt;2001&lt;/Year&gt;&lt;RecNum&gt;287&lt;/RecNum&gt;&lt;DisplayText&gt;[4]&lt;/DisplayText&gt;&lt;record&gt;&lt;rec-number&gt;287&lt;/rec-number&gt;&lt;foreign-keys&gt;&lt;key app="EN" db-id="wffdwdt97adpw0eeedr5t2wbdwf5etardpas"&gt;287&lt;/key&gt;&lt;/foreign-keys&gt;&lt;ref-type name="Journal Article"&gt;17&lt;/ref-type&gt;&lt;contributors&gt;&lt;authors&gt;&lt;author&gt;Fromentin, J. M.&lt;/author&gt;&lt;author&gt;Fonteneau, A.&lt;/author&gt;&lt;/authors&gt;&lt;/contributors&gt;&lt;titles&gt;&lt;title&gt;Fishing effects and life history traits: A case study comparing tropical versus temperate tunas&lt;/title&gt;&lt;secondary-title&gt;Fisheries Research&lt;/secondary-title&gt;&lt;/titles&gt;&lt;periodical&gt;&lt;full-title&gt;Fisheries Research&lt;/full-title&gt;&lt;/periodical&gt;&lt;pages&gt;133-150&lt;/pages&gt;&lt;volume&gt;53&lt;/volume&gt;&lt;dates&gt;&lt;year&gt;2001&lt;/year&gt;&lt;/dates&gt;&lt;urls&gt;&lt;/urls&gt;&lt;/record&gt;&lt;/Cite&gt;&lt;/EndNote&gt;</w:instrText>
      </w:r>
      <w:r w:rsidR="00887BCB" w:rsidRPr="006E04D7">
        <w:rPr>
          <w:rFonts w:ascii="Times New Roman" w:hAnsi="Times New Roman" w:cs="Times New Roman"/>
          <w:sz w:val="24"/>
          <w:szCs w:val="24"/>
        </w:rPr>
        <w:fldChar w:fldCharType="separate"/>
      </w:r>
      <w:r w:rsidR="00887BCB" w:rsidRPr="006E04D7">
        <w:rPr>
          <w:rFonts w:ascii="Times New Roman" w:hAnsi="Times New Roman" w:cs="Times New Roman"/>
          <w:noProof/>
          <w:sz w:val="24"/>
          <w:szCs w:val="24"/>
        </w:rPr>
        <w:t>[</w:t>
      </w:r>
      <w:hyperlink w:anchor="_ENREF_4" w:tooltip="Fromentin, 2001 #287" w:history="1">
        <w:r w:rsidR="00CB2334" w:rsidRPr="006E04D7">
          <w:rPr>
            <w:rFonts w:ascii="Times New Roman" w:hAnsi="Times New Roman" w:cs="Times New Roman"/>
            <w:noProof/>
            <w:sz w:val="24"/>
            <w:szCs w:val="24"/>
          </w:rPr>
          <w:t>4</w:t>
        </w:r>
      </w:hyperlink>
      <w:r w:rsidR="00887BCB" w:rsidRPr="006E04D7">
        <w:rPr>
          <w:rFonts w:ascii="Times New Roman" w:hAnsi="Times New Roman" w:cs="Times New Roman"/>
          <w:noProof/>
          <w:sz w:val="24"/>
          <w:szCs w:val="24"/>
        </w:rPr>
        <w:t>]</w:t>
      </w:r>
      <w:r w:rsidR="00887BCB" w:rsidRPr="006E04D7">
        <w:rPr>
          <w:rFonts w:ascii="Times New Roman" w:hAnsi="Times New Roman" w:cs="Times New Roman"/>
          <w:sz w:val="24"/>
          <w:szCs w:val="24"/>
        </w:rPr>
        <w:fldChar w:fldCharType="end"/>
      </w:r>
      <w:r w:rsidR="00887BCB" w:rsidRPr="006E04D7">
        <w:rPr>
          <w:rFonts w:ascii="Times New Roman" w:hAnsi="Times New Roman" w:cs="Times New Roman"/>
          <w:sz w:val="24"/>
          <w:szCs w:val="24"/>
        </w:rPr>
        <w:t xml:space="preserve">. Therefore, the over-exploitation of the </w:t>
      </w:r>
      <w:r w:rsidR="00F53D94">
        <w:rPr>
          <w:rFonts w:ascii="Times New Roman" w:hAnsi="Times New Roman" w:cs="Times New Roman"/>
          <w:sz w:val="24"/>
          <w:szCs w:val="24"/>
        </w:rPr>
        <w:t>bluefin</w:t>
      </w:r>
      <w:r w:rsidR="00887BCB" w:rsidRPr="006E04D7">
        <w:rPr>
          <w:rFonts w:ascii="Times New Roman" w:hAnsi="Times New Roman" w:cs="Times New Roman"/>
          <w:sz w:val="24"/>
          <w:szCs w:val="24"/>
        </w:rPr>
        <w:t xml:space="preserve"> tuna may affect the decline of this species more severely, compared to other tuna species such as skipjack which does not have the same biological traits of Bluefin </w:t>
      </w:r>
      <w:r w:rsidR="00887BCB" w:rsidRPr="006E04D7">
        <w:rPr>
          <w:rFonts w:ascii="Times New Roman" w:hAnsi="Times New Roman" w:cs="Times New Roman"/>
          <w:sz w:val="24"/>
          <w:szCs w:val="24"/>
        </w:rPr>
        <w:fldChar w:fldCharType="begin"/>
      </w:r>
      <w:r w:rsidR="00887BCB" w:rsidRPr="006E04D7">
        <w:rPr>
          <w:rFonts w:ascii="Times New Roman" w:hAnsi="Times New Roman" w:cs="Times New Roman"/>
          <w:sz w:val="24"/>
          <w:szCs w:val="24"/>
        </w:rPr>
        <w:instrText xml:space="preserve"> ADDIN EN.CITE &lt;EndNote&gt;&lt;Cite&gt;&lt;Author&gt;Fromentin&lt;/Author&gt;&lt;Year&gt;2005&lt;/Year&gt;&lt;RecNum&gt;285&lt;/RecNum&gt;&lt;DisplayText&gt;[5]&lt;/DisplayText&gt;&lt;record&gt;&lt;rec-number&gt;285&lt;/rec-number&gt;&lt;foreign-keys&gt;&lt;key app="EN" db-id="wffdwdt97adpw0eeedr5t2wbdwf5etardpas"&gt;285&lt;/key&gt;&lt;/foreign-keys&gt;&lt;ref-type name="Journal Article"&gt;17&lt;/ref-type&gt;&lt;contributors&gt;&lt;authors&gt;&lt;author&gt;Fromentin, J. M.&lt;/author&gt;&lt;author&gt;Ravier, C&lt;/author&gt;&lt;/authors&gt;&lt;/contributors&gt;&lt;titles&gt;&lt;title&gt;The East Atlantic and Mediterranean Bluefin Tuna Stock: Looking for Sustainability in a Context of Large Uncertainties and Strong Political Pressures&lt;/title&gt;&lt;secondary-title&gt;Bulletin of Marine Science&lt;/secondary-title&gt;&lt;/titles&gt;&lt;periodical&gt;&lt;full-title&gt;Bulletin of Marine Science&lt;/full-title&gt;&lt;/periodical&gt;&lt;pages&gt;353-362&lt;/pages&gt;&lt;volume&gt;76&lt;/volume&gt;&lt;dates&gt;&lt;year&gt;2005&lt;/year&gt;&lt;/dates&gt;&lt;urls&gt;&lt;/urls&gt;&lt;/record&gt;&lt;/Cite&gt;&lt;/EndNote&gt;</w:instrText>
      </w:r>
      <w:r w:rsidR="00887BCB" w:rsidRPr="006E04D7">
        <w:rPr>
          <w:rFonts w:ascii="Times New Roman" w:hAnsi="Times New Roman" w:cs="Times New Roman"/>
          <w:sz w:val="24"/>
          <w:szCs w:val="24"/>
        </w:rPr>
        <w:fldChar w:fldCharType="separate"/>
      </w:r>
      <w:r w:rsidR="00887BCB" w:rsidRPr="006E04D7">
        <w:rPr>
          <w:rFonts w:ascii="Times New Roman" w:hAnsi="Times New Roman" w:cs="Times New Roman"/>
          <w:noProof/>
          <w:sz w:val="24"/>
          <w:szCs w:val="24"/>
        </w:rPr>
        <w:t>[</w:t>
      </w:r>
      <w:hyperlink w:anchor="_ENREF_5" w:tooltip="Fromentin, 2005 #285" w:history="1">
        <w:r w:rsidR="00CB2334" w:rsidRPr="006E04D7">
          <w:rPr>
            <w:rFonts w:ascii="Times New Roman" w:hAnsi="Times New Roman" w:cs="Times New Roman"/>
            <w:noProof/>
            <w:sz w:val="24"/>
            <w:szCs w:val="24"/>
          </w:rPr>
          <w:t>5</w:t>
        </w:r>
      </w:hyperlink>
      <w:r w:rsidR="00887BCB" w:rsidRPr="006E04D7">
        <w:rPr>
          <w:rFonts w:ascii="Times New Roman" w:hAnsi="Times New Roman" w:cs="Times New Roman"/>
          <w:noProof/>
          <w:sz w:val="24"/>
          <w:szCs w:val="24"/>
        </w:rPr>
        <w:t>]</w:t>
      </w:r>
      <w:r w:rsidR="00887BCB" w:rsidRPr="006E04D7">
        <w:rPr>
          <w:rFonts w:ascii="Times New Roman" w:hAnsi="Times New Roman" w:cs="Times New Roman"/>
          <w:sz w:val="24"/>
          <w:szCs w:val="24"/>
        </w:rPr>
        <w:fldChar w:fldCharType="end"/>
      </w:r>
      <w:r w:rsidR="00887BCB" w:rsidRPr="006E04D7">
        <w:rPr>
          <w:rFonts w:ascii="Times New Roman" w:hAnsi="Times New Roman" w:cs="Times New Roman"/>
          <w:sz w:val="24"/>
          <w:szCs w:val="24"/>
        </w:rPr>
        <w:t xml:space="preserve">.   </w:t>
      </w:r>
      <w:r w:rsidR="00EE44E1" w:rsidRPr="006E04D7">
        <w:rPr>
          <w:rFonts w:ascii="Times New Roman" w:hAnsi="Times New Roman" w:cs="Times New Roman"/>
          <w:sz w:val="24"/>
          <w:szCs w:val="24"/>
        </w:rPr>
        <w:t>In this study</w:t>
      </w:r>
      <w:r w:rsidR="00D35290" w:rsidRPr="006E04D7">
        <w:rPr>
          <w:rFonts w:ascii="Times New Roman" w:hAnsi="Times New Roman" w:cs="Times New Roman"/>
          <w:sz w:val="24"/>
          <w:szCs w:val="24"/>
        </w:rPr>
        <w:t>,</w:t>
      </w:r>
      <w:r w:rsidR="00EE44E1" w:rsidRPr="006E04D7">
        <w:rPr>
          <w:rFonts w:ascii="Times New Roman" w:hAnsi="Times New Roman" w:cs="Times New Roman"/>
          <w:sz w:val="24"/>
          <w:szCs w:val="24"/>
        </w:rPr>
        <w:t xml:space="preserve"> we focus on the status of the </w:t>
      </w:r>
      <w:r w:rsidR="00F53D94">
        <w:rPr>
          <w:rFonts w:ascii="Times New Roman" w:hAnsi="Times New Roman" w:cs="Times New Roman"/>
          <w:sz w:val="24"/>
          <w:szCs w:val="24"/>
        </w:rPr>
        <w:t>bluefin</w:t>
      </w:r>
      <w:r w:rsidR="00EE44E1" w:rsidRPr="006E04D7">
        <w:rPr>
          <w:rFonts w:ascii="Times New Roman" w:hAnsi="Times New Roman" w:cs="Times New Roman"/>
          <w:sz w:val="24"/>
          <w:szCs w:val="24"/>
        </w:rPr>
        <w:t xml:space="preserve"> tuna </w:t>
      </w:r>
      <w:r w:rsidR="00D35290" w:rsidRPr="006E04D7">
        <w:rPr>
          <w:rFonts w:ascii="Times New Roman" w:hAnsi="Times New Roman" w:cs="Times New Roman"/>
          <w:sz w:val="24"/>
          <w:szCs w:val="24"/>
        </w:rPr>
        <w:t xml:space="preserve">over a 22 </w:t>
      </w:r>
      <w:proofErr w:type="spellStart"/>
      <w:proofErr w:type="gramStart"/>
      <w:r w:rsidR="00D35290" w:rsidRPr="006E04D7">
        <w:rPr>
          <w:rFonts w:ascii="Times New Roman" w:hAnsi="Times New Roman" w:cs="Times New Roman"/>
          <w:sz w:val="24"/>
          <w:szCs w:val="24"/>
        </w:rPr>
        <w:t>years</w:t>
      </w:r>
      <w:proofErr w:type="gramEnd"/>
      <w:r w:rsidR="009362CA">
        <w:rPr>
          <w:rFonts w:ascii="Times New Roman" w:hAnsi="Times New Roman" w:cs="Times New Roman"/>
          <w:sz w:val="24"/>
          <w:szCs w:val="24"/>
        </w:rPr>
        <w:t xml:space="preserve"> </w:t>
      </w:r>
      <w:r w:rsidR="00D35290" w:rsidRPr="006E04D7">
        <w:rPr>
          <w:rFonts w:ascii="Times New Roman" w:hAnsi="Times New Roman" w:cs="Times New Roman"/>
          <w:sz w:val="24"/>
          <w:szCs w:val="24"/>
        </w:rPr>
        <w:t>time</w:t>
      </w:r>
      <w:proofErr w:type="spellEnd"/>
      <w:r w:rsidR="00D35290" w:rsidRPr="006E04D7">
        <w:rPr>
          <w:rFonts w:ascii="Times New Roman" w:hAnsi="Times New Roman" w:cs="Times New Roman"/>
          <w:sz w:val="24"/>
          <w:szCs w:val="24"/>
        </w:rPr>
        <w:t xml:space="preserve"> period (1995-2017) </w:t>
      </w:r>
      <w:r w:rsidR="00EE44E1" w:rsidRPr="006E04D7">
        <w:rPr>
          <w:rFonts w:ascii="Times New Roman" w:hAnsi="Times New Roman" w:cs="Times New Roman"/>
          <w:sz w:val="24"/>
          <w:szCs w:val="24"/>
        </w:rPr>
        <w:t xml:space="preserve">and analyse issues related to its </w:t>
      </w:r>
      <w:r w:rsidR="00D35290" w:rsidRPr="006E04D7">
        <w:rPr>
          <w:rFonts w:ascii="Times New Roman" w:hAnsi="Times New Roman" w:cs="Times New Roman"/>
          <w:sz w:val="24"/>
          <w:szCs w:val="24"/>
        </w:rPr>
        <w:t>exploitation</w:t>
      </w:r>
      <w:r w:rsidR="00EE44E1" w:rsidRPr="006E04D7">
        <w:rPr>
          <w:rFonts w:ascii="Times New Roman" w:hAnsi="Times New Roman" w:cs="Times New Roman"/>
          <w:sz w:val="24"/>
          <w:szCs w:val="24"/>
        </w:rPr>
        <w:t xml:space="preserve">, and management </w:t>
      </w:r>
      <w:r w:rsidR="00D35290" w:rsidRPr="006E04D7">
        <w:rPr>
          <w:rFonts w:ascii="Times New Roman" w:hAnsi="Times New Roman" w:cs="Times New Roman"/>
          <w:sz w:val="24"/>
          <w:szCs w:val="24"/>
        </w:rPr>
        <w:t>based on the</w:t>
      </w:r>
      <w:r w:rsidR="00EE44E1" w:rsidRPr="006E04D7">
        <w:rPr>
          <w:rFonts w:ascii="Times New Roman" w:hAnsi="Times New Roman" w:cs="Times New Roman"/>
          <w:sz w:val="24"/>
          <w:szCs w:val="24"/>
        </w:rPr>
        <w:t xml:space="preserve"> analysis </w:t>
      </w:r>
      <w:r w:rsidR="00D35290" w:rsidRPr="006E04D7">
        <w:rPr>
          <w:rFonts w:ascii="Times New Roman" w:hAnsi="Times New Roman" w:cs="Times New Roman"/>
          <w:sz w:val="24"/>
          <w:szCs w:val="24"/>
        </w:rPr>
        <w:t>of</w:t>
      </w:r>
      <w:r w:rsidR="00EE44E1" w:rsidRPr="006E04D7">
        <w:rPr>
          <w:rFonts w:ascii="Times New Roman" w:hAnsi="Times New Roman" w:cs="Times New Roman"/>
          <w:sz w:val="24"/>
          <w:szCs w:val="24"/>
        </w:rPr>
        <w:t xml:space="preserve"> the bluefin catch in the three regions of </w:t>
      </w:r>
      <w:r w:rsidR="005A3AAC" w:rsidRPr="006E04D7">
        <w:rPr>
          <w:rFonts w:ascii="Times New Roman" w:hAnsi="Times New Roman" w:cs="Times New Roman"/>
          <w:sz w:val="24"/>
          <w:szCs w:val="24"/>
        </w:rPr>
        <w:t>Mediterranean</w:t>
      </w:r>
      <w:r w:rsidR="00EE44E1" w:rsidRPr="006E04D7">
        <w:rPr>
          <w:rFonts w:ascii="Times New Roman" w:hAnsi="Times New Roman" w:cs="Times New Roman"/>
          <w:sz w:val="24"/>
          <w:szCs w:val="24"/>
        </w:rPr>
        <w:t>, West Atlantic and East Atlantic ocean.</w:t>
      </w:r>
      <w:r w:rsidR="00F65F53" w:rsidRPr="006E04D7">
        <w:rPr>
          <w:rFonts w:ascii="Times New Roman" w:hAnsi="Times New Roman" w:cs="Times New Roman"/>
          <w:sz w:val="24"/>
          <w:szCs w:val="24"/>
        </w:rPr>
        <w:t xml:space="preserve"> In section </w:t>
      </w:r>
      <w:r w:rsidR="00ED45AA" w:rsidRPr="006E04D7">
        <w:rPr>
          <w:rFonts w:ascii="Times New Roman" w:hAnsi="Times New Roman" w:cs="Times New Roman"/>
          <w:sz w:val="24"/>
          <w:szCs w:val="24"/>
        </w:rPr>
        <w:t>1</w:t>
      </w:r>
      <w:r w:rsidR="00F65F53" w:rsidRPr="006E04D7">
        <w:rPr>
          <w:rFonts w:ascii="Times New Roman" w:hAnsi="Times New Roman" w:cs="Times New Roman"/>
          <w:sz w:val="24"/>
          <w:szCs w:val="24"/>
        </w:rPr>
        <w:t xml:space="preserve">, an overview of the BFT is presented. In Section </w:t>
      </w:r>
      <w:r w:rsidR="00ED45AA" w:rsidRPr="006E04D7">
        <w:rPr>
          <w:rFonts w:ascii="Times New Roman" w:hAnsi="Times New Roman" w:cs="Times New Roman"/>
          <w:sz w:val="24"/>
          <w:szCs w:val="24"/>
        </w:rPr>
        <w:t>2</w:t>
      </w:r>
      <w:r w:rsidR="00F65F53" w:rsidRPr="006E04D7">
        <w:rPr>
          <w:rFonts w:ascii="Times New Roman" w:hAnsi="Times New Roman" w:cs="Times New Roman"/>
          <w:sz w:val="24"/>
          <w:szCs w:val="24"/>
        </w:rPr>
        <w:t xml:space="preserve">, the current management </w:t>
      </w:r>
      <w:r w:rsidR="00ED45AA" w:rsidRPr="006E04D7">
        <w:rPr>
          <w:rFonts w:ascii="Times New Roman" w:hAnsi="Times New Roman" w:cs="Times New Roman"/>
          <w:sz w:val="24"/>
          <w:szCs w:val="24"/>
        </w:rPr>
        <w:t>structure</w:t>
      </w:r>
      <w:r w:rsidR="00F65F53" w:rsidRPr="006E04D7">
        <w:rPr>
          <w:rFonts w:ascii="Times New Roman" w:hAnsi="Times New Roman" w:cs="Times New Roman"/>
          <w:sz w:val="24"/>
          <w:szCs w:val="24"/>
        </w:rPr>
        <w:t xml:space="preserve"> of the Atlantic BFT is explained </w:t>
      </w:r>
      <w:r w:rsidR="00F65F53" w:rsidRPr="006E04D7">
        <w:rPr>
          <w:rFonts w:ascii="Times New Roman" w:hAnsi="Times New Roman" w:cs="Times New Roman"/>
          <w:sz w:val="24"/>
          <w:szCs w:val="24"/>
        </w:rPr>
        <w:lastRenderedPageBreak/>
        <w:t>followed by the analysis of the catch data</w:t>
      </w:r>
      <w:r w:rsidR="00ED45AA" w:rsidRPr="006E04D7">
        <w:rPr>
          <w:rFonts w:ascii="Times New Roman" w:hAnsi="Times New Roman" w:cs="Times New Roman"/>
          <w:sz w:val="24"/>
          <w:szCs w:val="24"/>
        </w:rPr>
        <w:t xml:space="preserve"> for the period between (1995-2017)</w:t>
      </w:r>
      <w:r w:rsidR="005A3AAC" w:rsidRPr="006E04D7">
        <w:rPr>
          <w:rFonts w:ascii="Times New Roman" w:hAnsi="Times New Roman" w:cs="Times New Roman"/>
          <w:sz w:val="24"/>
          <w:szCs w:val="24"/>
        </w:rPr>
        <w:t>,</w:t>
      </w:r>
      <w:r w:rsidR="00B477E8">
        <w:rPr>
          <w:rFonts w:ascii="Times New Roman" w:hAnsi="Times New Roman" w:cs="Times New Roman"/>
          <w:sz w:val="24"/>
          <w:szCs w:val="24"/>
        </w:rPr>
        <w:t xml:space="preserve"> followed by an optimisation model in Section 3. Finally, S</w:t>
      </w:r>
      <w:r w:rsidR="00F65F53" w:rsidRPr="006E04D7">
        <w:rPr>
          <w:rFonts w:ascii="Times New Roman" w:hAnsi="Times New Roman" w:cs="Times New Roman"/>
          <w:sz w:val="24"/>
          <w:szCs w:val="24"/>
        </w:rPr>
        <w:t xml:space="preserve">ection </w:t>
      </w:r>
      <w:r w:rsidR="00B477E8">
        <w:rPr>
          <w:rFonts w:ascii="Times New Roman" w:hAnsi="Times New Roman" w:cs="Times New Roman"/>
          <w:sz w:val="24"/>
          <w:szCs w:val="24"/>
        </w:rPr>
        <w:t>4</w:t>
      </w:r>
      <w:r w:rsidR="005A3AAC" w:rsidRPr="006E04D7">
        <w:rPr>
          <w:rFonts w:ascii="Times New Roman" w:hAnsi="Times New Roman" w:cs="Times New Roman"/>
          <w:sz w:val="24"/>
          <w:szCs w:val="24"/>
        </w:rPr>
        <w:t xml:space="preserve"> </w:t>
      </w:r>
      <w:r w:rsidR="00F65F53" w:rsidRPr="006E04D7">
        <w:rPr>
          <w:rFonts w:ascii="Times New Roman" w:hAnsi="Times New Roman" w:cs="Times New Roman"/>
          <w:sz w:val="24"/>
          <w:szCs w:val="24"/>
        </w:rPr>
        <w:t>presents the discussions and conclusions of the study.</w:t>
      </w:r>
    </w:p>
    <w:p w14:paraId="345533F9" w14:textId="149E8A1F" w:rsidR="00D35290" w:rsidRPr="006E04D7" w:rsidRDefault="009362CA" w:rsidP="009362CA">
      <w:pPr>
        <w:pStyle w:val="Heading1"/>
      </w:pPr>
      <w:r>
        <w:t xml:space="preserve">Overview of BFT, catches and </w:t>
      </w:r>
      <w:proofErr w:type="gramStart"/>
      <w:r>
        <w:t>management</w:t>
      </w:r>
      <w:proofErr w:type="gramEnd"/>
    </w:p>
    <w:p w14:paraId="480BAB92" w14:textId="6832B5B4" w:rsidR="009362CA" w:rsidRDefault="009362CA" w:rsidP="009362CA">
      <w:pPr>
        <w:pStyle w:val="Heading2"/>
      </w:pPr>
      <w:r>
        <w:t>Habitat</w:t>
      </w:r>
    </w:p>
    <w:p w14:paraId="43B7B4F8" w14:textId="4BDBBDC2" w:rsidR="00EE44E1" w:rsidRPr="006E04D7" w:rsidRDefault="00EE44E1"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 xml:space="preserve">Tunas migrate long distances during their life cycle and amongst their major habitats are the Atlantic, </w:t>
      </w:r>
      <w:proofErr w:type="gramStart"/>
      <w:r w:rsidRPr="006E04D7">
        <w:rPr>
          <w:rFonts w:ascii="Times New Roman" w:hAnsi="Times New Roman" w:cs="Times New Roman"/>
          <w:sz w:val="24"/>
          <w:szCs w:val="24"/>
        </w:rPr>
        <w:t>Indian</w:t>
      </w:r>
      <w:proofErr w:type="gramEnd"/>
      <w:r w:rsidRPr="006E04D7">
        <w:rPr>
          <w:rFonts w:ascii="Times New Roman" w:hAnsi="Times New Roman" w:cs="Times New Roman"/>
          <w:sz w:val="24"/>
          <w:szCs w:val="24"/>
        </w:rPr>
        <w:t xml:space="preserve"> and Pacific oceans. The biotic and abiotic environmental parameters, as well as oxygen and temperature and water salinity affect the spatial distribution and abundance of this species </w:t>
      </w:r>
      <w:r w:rsidRPr="006E04D7">
        <w:rPr>
          <w:rFonts w:ascii="Times New Roman" w:hAnsi="Times New Roman" w:cs="Times New Roman"/>
          <w:sz w:val="24"/>
          <w:szCs w:val="24"/>
        </w:rPr>
        <w:fldChar w:fldCharType="begin"/>
      </w:r>
      <w:r w:rsidR="00E875EB" w:rsidRPr="006E04D7">
        <w:rPr>
          <w:rFonts w:ascii="Times New Roman" w:hAnsi="Times New Roman" w:cs="Times New Roman"/>
          <w:sz w:val="24"/>
          <w:szCs w:val="24"/>
        </w:rPr>
        <w:instrText xml:space="preserve"> ADDIN EN.CITE &lt;EndNote&gt;&lt;Cite&gt;&lt;Author&gt;Arrizabalaga&lt;/Author&gt;&lt;Year&gt;2015&lt;/Year&gt;&lt;RecNum&gt;262&lt;/RecNum&gt;&lt;DisplayText&gt;[6]&lt;/DisplayText&gt;&lt;record&gt;&lt;rec-number&gt;262&lt;/rec-number&gt;&lt;foreign-keys&gt;&lt;key app="EN" db-id="wffdwdt97adpw0eeedr5t2wbdwf5etardpas"&gt;262&lt;/key&gt;&lt;/foreign-keys&gt;&lt;ref-type name="Journal Article"&gt;17&lt;/ref-type&gt;&lt;contributors&gt;&lt;authors&gt;&lt;author&gt;Arrizabalaga, H. &lt;/author&gt;&lt;author&gt;Dufour, F. &lt;/author&gt;&lt;author&gt;Kell, L. &lt;/author&gt;&lt;author&gt;Merino, G. &lt;/author&gt;&lt;author&gt;Ibaibarriaga, L. &lt;/author&gt;&lt;author&gt;Chust, G.&lt;/author&gt;&lt;/authors&gt;&lt;/contributors&gt;&lt;titles&gt;&lt;title&gt;Global habitat preferences of commercially valuable tuna&lt;/title&gt;&lt;secondary-title&gt;Deep-Sea Research II&lt;/secondary-title&gt;&lt;/titles&gt;&lt;periodical&gt;&lt;full-title&gt;Deep-Sea Research II&lt;/full-title&gt;&lt;/periodical&gt;&lt;pages&gt;102-112&lt;/pages&gt;&lt;volume&gt;113&lt;/volume&gt;&lt;dates&gt;&lt;year&gt;2015&lt;/year&gt;&lt;/dates&gt;&lt;urls&gt;&lt;/urls&gt;&lt;/record&gt;&lt;/Cite&gt;&lt;/EndNote&gt;</w:instrText>
      </w:r>
      <w:r w:rsidRPr="006E04D7">
        <w:rPr>
          <w:rFonts w:ascii="Times New Roman" w:hAnsi="Times New Roman" w:cs="Times New Roman"/>
          <w:sz w:val="24"/>
          <w:szCs w:val="24"/>
        </w:rPr>
        <w:fldChar w:fldCharType="separate"/>
      </w:r>
      <w:r w:rsidR="00E875EB" w:rsidRPr="006E04D7">
        <w:rPr>
          <w:rFonts w:ascii="Times New Roman" w:hAnsi="Times New Roman" w:cs="Times New Roman"/>
          <w:noProof/>
          <w:sz w:val="24"/>
          <w:szCs w:val="24"/>
        </w:rPr>
        <w:t>[</w:t>
      </w:r>
      <w:hyperlink w:anchor="_ENREF_6" w:tooltip="Arrizabalaga, 2015 #262" w:history="1">
        <w:r w:rsidR="00CB2334" w:rsidRPr="006E04D7">
          <w:rPr>
            <w:rFonts w:ascii="Times New Roman" w:hAnsi="Times New Roman" w:cs="Times New Roman"/>
            <w:noProof/>
            <w:sz w:val="24"/>
            <w:szCs w:val="24"/>
          </w:rPr>
          <w:t>6</w:t>
        </w:r>
      </w:hyperlink>
      <w:r w:rsidR="00E875EB"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Furthermore, the distribution of prey is one of the main drivers in the distribution of </w:t>
      </w:r>
      <w:r w:rsidR="00F53D94">
        <w:rPr>
          <w:rFonts w:ascii="Times New Roman" w:hAnsi="Times New Roman" w:cs="Times New Roman"/>
          <w:sz w:val="24"/>
          <w:szCs w:val="24"/>
        </w:rPr>
        <w:t>bluefin</w:t>
      </w:r>
      <w:r w:rsidRPr="006E04D7">
        <w:rPr>
          <w:rFonts w:ascii="Times New Roman" w:hAnsi="Times New Roman" w:cs="Times New Roman"/>
          <w:sz w:val="24"/>
          <w:szCs w:val="24"/>
        </w:rPr>
        <w:t xml:space="preserve"> tuna, for example in the study by </w:t>
      </w:r>
      <w:r w:rsidRPr="006E04D7">
        <w:rPr>
          <w:rFonts w:ascii="Times New Roman" w:hAnsi="Times New Roman" w:cs="Times New Roman"/>
          <w:sz w:val="24"/>
          <w:szCs w:val="24"/>
        </w:rPr>
        <w:fldChar w:fldCharType="begin"/>
      </w:r>
      <w:r w:rsidR="00E875EB" w:rsidRPr="006E04D7">
        <w:rPr>
          <w:rFonts w:ascii="Times New Roman" w:hAnsi="Times New Roman" w:cs="Times New Roman"/>
          <w:sz w:val="24"/>
          <w:szCs w:val="24"/>
        </w:rPr>
        <w:instrText xml:space="preserve"> ADDIN EN.CITE &lt;EndNote&gt;&lt;Cite&gt;&lt;Author&gt;Schick&lt;/Author&gt;&lt;Year&gt;2009&lt;/Year&gt;&lt;RecNum&gt;273&lt;/RecNum&gt;&lt;DisplayText&gt;[7]&lt;/DisplayText&gt;&lt;record&gt;&lt;rec-number&gt;273&lt;/rec-number&gt;&lt;foreign-keys&gt;&lt;key app="EN" db-id="wffdwdt97adpw0eeedr5t2wbdwf5etardpas"&gt;273&lt;/key&gt;&lt;/foreign-keys&gt;&lt;ref-type name="Journal Article"&gt;17&lt;/ref-type&gt;&lt;contributors&gt;&lt;authors&gt;&lt;author&gt;Schick, R. S.&lt;/author&gt;&lt;author&gt;Lutcavage, M. E. &lt;/author&gt;&lt;/authors&gt;&lt;/contributors&gt;&lt;titles&gt;&lt;title&gt;Inclusion of prey data improves prediction of bluefin tuna (Thunnus thynnus) distribution&lt;/title&gt;&lt;secondary-title&gt;Fisheries Oceanography&lt;/secondary-title&gt;&lt;/titles&gt;&lt;periodical&gt;&lt;full-title&gt;Fisheries Oceanography&lt;/full-title&gt;&lt;/periodical&gt;&lt;pages&gt;77-81&lt;/pages&gt;&lt;volume&gt;18&lt;/volume&gt;&lt;number&gt;1&lt;/number&gt;&lt;dates&gt;&lt;year&gt;2009&lt;/year&gt;&lt;/dates&gt;&lt;urls&gt;&lt;/urls&gt;&lt;/record&gt;&lt;/Cite&gt;&lt;/EndNote&gt;</w:instrText>
      </w:r>
      <w:r w:rsidRPr="006E04D7">
        <w:rPr>
          <w:rFonts w:ascii="Times New Roman" w:hAnsi="Times New Roman" w:cs="Times New Roman"/>
          <w:sz w:val="24"/>
          <w:szCs w:val="24"/>
        </w:rPr>
        <w:fldChar w:fldCharType="separate"/>
      </w:r>
      <w:r w:rsidR="00E875EB" w:rsidRPr="006E04D7">
        <w:rPr>
          <w:rFonts w:ascii="Times New Roman" w:hAnsi="Times New Roman" w:cs="Times New Roman"/>
          <w:noProof/>
          <w:sz w:val="24"/>
          <w:szCs w:val="24"/>
        </w:rPr>
        <w:t>[</w:t>
      </w:r>
      <w:hyperlink w:anchor="_ENREF_7" w:tooltip="Schick, 2009 #273" w:history="1">
        <w:r w:rsidR="00CB2334" w:rsidRPr="006E04D7">
          <w:rPr>
            <w:rFonts w:ascii="Times New Roman" w:hAnsi="Times New Roman" w:cs="Times New Roman"/>
            <w:noProof/>
            <w:sz w:val="24"/>
            <w:szCs w:val="24"/>
          </w:rPr>
          <w:t>7</w:t>
        </w:r>
      </w:hyperlink>
      <w:r w:rsidR="00E875EB"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the abundance of Bluefin tuna in the Gulf of Main in the  Northwest Atlantic region was examined and the result suggest that it was strongly correlated with the Herring density in the region.  The Bay of Biscay is an important Atlantic </w:t>
      </w:r>
      <w:r w:rsidR="00F53D94">
        <w:rPr>
          <w:rFonts w:ascii="Times New Roman" w:hAnsi="Times New Roman" w:cs="Times New Roman"/>
          <w:sz w:val="24"/>
          <w:szCs w:val="24"/>
        </w:rPr>
        <w:t>Bluefin</w:t>
      </w:r>
      <w:r w:rsidRPr="006E04D7">
        <w:rPr>
          <w:rFonts w:ascii="Times New Roman" w:hAnsi="Times New Roman" w:cs="Times New Roman"/>
          <w:sz w:val="24"/>
          <w:szCs w:val="24"/>
        </w:rPr>
        <w:t xml:space="preserve"> Tuna bait boat fishery mainly comprised of juveniles (i.e. age 1-3, 55-110 cm straight fork length). The interannual consistency of this fishery and the targeting of early life stages, makes the Bay of Biscay assemblage a key component of the Eastern stock assessment </w:t>
      </w:r>
      <w:r w:rsidRPr="006E04D7">
        <w:rPr>
          <w:rFonts w:ascii="Times New Roman" w:hAnsi="Times New Roman" w:cs="Times New Roman"/>
          <w:sz w:val="24"/>
          <w:szCs w:val="24"/>
        </w:rPr>
        <w:fldChar w:fldCharType="begin"/>
      </w:r>
      <w:r w:rsidR="00E875EB" w:rsidRPr="006E04D7">
        <w:rPr>
          <w:rFonts w:ascii="Times New Roman" w:hAnsi="Times New Roman" w:cs="Times New Roman"/>
          <w:sz w:val="24"/>
          <w:szCs w:val="24"/>
        </w:rPr>
        <w:instrText xml:space="preserve"> ADDIN EN.CITE &lt;EndNote&gt;&lt;Cite&gt;&lt;Author&gt;Rodrigues- Marin&lt;/Author&gt;&lt;Year&gt;2003&lt;/Year&gt;&lt;RecNum&gt;271&lt;/RecNum&gt;&lt;DisplayText&gt;[8]&lt;/DisplayText&gt;&lt;record&gt;&lt;rec-number&gt;271&lt;/rec-number&gt;&lt;foreign-keys&gt;&lt;key app="EN" db-id="wffdwdt97adpw0eeedr5t2wbdwf5etardpas"&gt;271&lt;/key&gt;&lt;/foreign-keys&gt;&lt;ref-type name="Journal Article"&gt;17&lt;/ref-type&gt;&lt;contributors&gt;&lt;authors&gt;&lt;author&gt;Rodrigues- Marin, E. &lt;/author&gt;&lt;author&gt;Arrizabalaga, H.&lt;/author&gt;&lt;author&gt;Ortiz, M.&lt;/author&gt;&lt;author&gt;Rodrigues, Cabello, C. &lt;/author&gt;&lt;/authors&gt;&lt;/contributors&gt;&lt;titles&gt;&lt;title&gt;Standardization of bluefin tuna, Thunnus thynnus, catch per unit effort in the baitboat fishery of the Bay of Biscay (Eastern Atlantic)&lt;/title&gt;&lt;secondary-title&gt;ICES Journal of Marine Science&lt;/secondary-title&gt;&lt;/titles&gt;&lt;periodical&gt;&lt;full-title&gt;ICES Journal of Marine Science&lt;/full-title&gt;&lt;/periodical&gt;&lt;pages&gt;1216-1231&lt;/pages&gt;&lt;volume&gt;60&lt;/volume&gt;&lt;number&gt;12&lt;/number&gt;&lt;dates&gt;&lt;year&gt;2003&lt;/year&gt;&lt;/dates&gt;&lt;urls&gt;&lt;/urls&gt;&lt;/record&gt;&lt;/Cite&gt;&lt;/EndNote&gt;</w:instrText>
      </w:r>
      <w:r w:rsidRPr="006E04D7">
        <w:rPr>
          <w:rFonts w:ascii="Times New Roman" w:hAnsi="Times New Roman" w:cs="Times New Roman"/>
          <w:sz w:val="24"/>
          <w:szCs w:val="24"/>
        </w:rPr>
        <w:fldChar w:fldCharType="separate"/>
      </w:r>
      <w:r w:rsidR="00E875EB" w:rsidRPr="006E04D7">
        <w:rPr>
          <w:rFonts w:ascii="Times New Roman" w:hAnsi="Times New Roman" w:cs="Times New Roman"/>
          <w:noProof/>
          <w:sz w:val="24"/>
          <w:szCs w:val="24"/>
        </w:rPr>
        <w:t>[</w:t>
      </w:r>
      <w:hyperlink w:anchor="_ENREF_8" w:tooltip="Rodrigues- Marin, 2003 #271" w:history="1">
        <w:r w:rsidR="00CB2334" w:rsidRPr="006E04D7">
          <w:rPr>
            <w:rFonts w:ascii="Times New Roman" w:hAnsi="Times New Roman" w:cs="Times New Roman"/>
            <w:noProof/>
            <w:sz w:val="24"/>
            <w:szCs w:val="24"/>
          </w:rPr>
          <w:t>8</w:t>
        </w:r>
      </w:hyperlink>
      <w:r w:rsidR="00E875EB"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 In a recent study by </w:t>
      </w:r>
      <w:r w:rsidRPr="006E04D7">
        <w:rPr>
          <w:rFonts w:ascii="Times New Roman" w:hAnsi="Times New Roman" w:cs="Times New Roman"/>
          <w:sz w:val="24"/>
          <w:szCs w:val="24"/>
        </w:rPr>
        <w:fldChar w:fldCharType="begin"/>
      </w:r>
      <w:r w:rsidR="00E875EB" w:rsidRPr="006E04D7">
        <w:rPr>
          <w:rFonts w:ascii="Times New Roman" w:hAnsi="Times New Roman" w:cs="Times New Roman"/>
          <w:sz w:val="24"/>
          <w:szCs w:val="24"/>
        </w:rPr>
        <w:instrText xml:space="preserve"> ADDIN EN.CITE &lt;EndNote&gt;&lt;Cite&gt;&lt;Author&gt;Arregui&lt;/Author&gt;&lt;Year&gt;2018&lt;/Year&gt;&lt;RecNum&gt;269&lt;/RecNum&gt;&lt;DisplayText&gt;[9]&lt;/DisplayText&gt;&lt;record&gt;&lt;rec-number&gt;269&lt;/rec-number&gt;&lt;foreign-keys&gt;&lt;key app="EN" db-id="wffdwdt97adpw0eeedr5t2wbdwf5etardpas"&gt;269&lt;/key&gt;&lt;/foreign-keys&gt;&lt;ref-type name="Journal Article"&gt;17&lt;/ref-type&gt;&lt;contributors&gt;&lt;authors&gt;&lt;author&gt;Arregui, I. &lt;/author&gt;&lt;author&gt;Galuardi, B. &lt;/author&gt;&lt;author&gt;Goni, N. &lt;/author&gt;&lt;author&gt;Lam, C. H.&lt;/author&gt;&lt;author&gt;Fraile, I. &lt;/author&gt;&lt;author&gt;Santiago, J.&lt;/author&gt;&lt;/authors&gt;&lt;/contributors&gt;&lt;titles&gt;&lt;title&gt;Movements and geographic distribution of juvenile bluefin tuna in the Northeast Atlantic, described through internal and satellite archival tags&lt;/title&gt;&lt;secondary-title&gt;ICES Journal of Marine Science&lt;/secondary-title&gt;&lt;/titles&gt;&lt;periodical&gt;&lt;full-title&gt;ICES Journal of Marine Science&lt;/full-title&gt;&lt;/periodical&gt;&lt;pages&gt;1560-1572&lt;/pages&gt;&lt;volume&gt;75&lt;/volume&gt;&lt;number&gt;5&lt;/number&gt;&lt;dates&gt;&lt;year&gt;2018&lt;/year&gt;&lt;/dates&gt;&lt;urls&gt;&lt;/urls&gt;&lt;/record&gt;&lt;/Cite&gt;&lt;/EndNote&gt;</w:instrText>
      </w:r>
      <w:r w:rsidRPr="006E04D7">
        <w:rPr>
          <w:rFonts w:ascii="Times New Roman" w:hAnsi="Times New Roman" w:cs="Times New Roman"/>
          <w:sz w:val="24"/>
          <w:szCs w:val="24"/>
        </w:rPr>
        <w:fldChar w:fldCharType="separate"/>
      </w:r>
      <w:r w:rsidR="00E875EB" w:rsidRPr="006E04D7">
        <w:rPr>
          <w:rFonts w:ascii="Times New Roman" w:hAnsi="Times New Roman" w:cs="Times New Roman"/>
          <w:noProof/>
          <w:sz w:val="24"/>
          <w:szCs w:val="24"/>
        </w:rPr>
        <w:t>[</w:t>
      </w:r>
      <w:hyperlink w:anchor="_ENREF_9" w:tooltip="Arregui, 2018 #269" w:history="1">
        <w:r w:rsidR="00CB2334" w:rsidRPr="006E04D7">
          <w:rPr>
            <w:rFonts w:ascii="Times New Roman" w:hAnsi="Times New Roman" w:cs="Times New Roman"/>
            <w:noProof/>
            <w:sz w:val="24"/>
            <w:szCs w:val="24"/>
          </w:rPr>
          <w:t>9</w:t>
        </w:r>
      </w:hyperlink>
      <w:r w:rsidR="00E875EB"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136 internal archival tags and 29 pop-up satellite archival tags were used to track juvenile Atlantic Bluefin tuna in the Bay of Biscay. The results show a significant geographic dispersion from autumn to spring with high habitat concentration in the Bay of Biscay during summer, when </w:t>
      </w:r>
      <w:r w:rsidR="00F53D94">
        <w:rPr>
          <w:rFonts w:ascii="Times New Roman" w:hAnsi="Times New Roman" w:cs="Times New Roman"/>
          <w:sz w:val="24"/>
          <w:szCs w:val="24"/>
        </w:rPr>
        <w:t>bluefin</w:t>
      </w:r>
      <w:r w:rsidRPr="006E04D7">
        <w:rPr>
          <w:rFonts w:ascii="Times New Roman" w:hAnsi="Times New Roman" w:cs="Times New Roman"/>
          <w:sz w:val="24"/>
          <w:szCs w:val="24"/>
        </w:rPr>
        <w:t xml:space="preserve"> tuna inhabits in the mixed layer.  A high percentage of the individuals which left the Bay of Biscay towards the end of the </w:t>
      </w:r>
      <w:proofErr w:type="gramStart"/>
      <w:r w:rsidRPr="006E04D7">
        <w:rPr>
          <w:rFonts w:ascii="Times New Roman" w:hAnsi="Times New Roman" w:cs="Times New Roman"/>
          <w:sz w:val="24"/>
          <w:szCs w:val="24"/>
        </w:rPr>
        <w:t>year,  returned</w:t>
      </w:r>
      <w:proofErr w:type="gramEnd"/>
      <w:r w:rsidRPr="006E04D7">
        <w:rPr>
          <w:rFonts w:ascii="Times New Roman" w:hAnsi="Times New Roman" w:cs="Times New Roman"/>
          <w:sz w:val="24"/>
          <w:szCs w:val="24"/>
        </w:rPr>
        <w:t xml:space="preserve"> the next year, suggesting a strong fidelity to the Bay of Biscay.  33% of the records during the overwintering period revealed residency in the Bay of Biscay and surrounding areas. Half of the fish overwinter in the </w:t>
      </w:r>
      <w:proofErr w:type="spellStart"/>
      <w:r w:rsidRPr="006E04D7">
        <w:rPr>
          <w:rFonts w:ascii="Times New Roman" w:hAnsi="Times New Roman" w:cs="Times New Roman"/>
          <w:sz w:val="24"/>
          <w:szCs w:val="24"/>
        </w:rPr>
        <w:t>mid Atlantic</w:t>
      </w:r>
      <w:proofErr w:type="spellEnd"/>
      <w:r w:rsidRPr="006E04D7">
        <w:rPr>
          <w:rFonts w:ascii="Times New Roman" w:hAnsi="Times New Roman" w:cs="Times New Roman"/>
          <w:sz w:val="24"/>
          <w:szCs w:val="24"/>
        </w:rPr>
        <w:t xml:space="preserve">, near the Madeira Islands. The finding in </w:t>
      </w:r>
      <w:r w:rsidRPr="006E04D7">
        <w:rPr>
          <w:rFonts w:ascii="Times New Roman" w:hAnsi="Times New Roman" w:cs="Times New Roman"/>
          <w:sz w:val="24"/>
          <w:szCs w:val="24"/>
        </w:rPr>
        <w:fldChar w:fldCharType="begin"/>
      </w:r>
      <w:r w:rsidR="00E875EB" w:rsidRPr="006E04D7">
        <w:rPr>
          <w:rFonts w:ascii="Times New Roman" w:hAnsi="Times New Roman" w:cs="Times New Roman"/>
          <w:sz w:val="24"/>
          <w:szCs w:val="24"/>
        </w:rPr>
        <w:instrText xml:space="preserve"> ADDIN EN.CITE &lt;EndNote&gt;&lt;Cite&gt;&lt;Author&gt;Arregui&lt;/Author&gt;&lt;Year&gt;2018&lt;/Year&gt;&lt;RecNum&gt;269&lt;/RecNum&gt;&lt;DisplayText&gt;[9]&lt;/DisplayText&gt;&lt;record&gt;&lt;rec-number&gt;269&lt;/rec-number&gt;&lt;foreign-keys&gt;&lt;key app="EN" db-id="wffdwdt97adpw0eeedr5t2wbdwf5etardpas"&gt;269&lt;/key&gt;&lt;/foreign-keys&gt;&lt;ref-type name="Journal Article"&gt;17&lt;/ref-type&gt;&lt;contributors&gt;&lt;authors&gt;&lt;author&gt;Arregui, I. &lt;/author&gt;&lt;author&gt;Galuardi, B. &lt;/author&gt;&lt;author&gt;Goni, N. &lt;/author&gt;&lt;author&gt;Lam, C. H.&lt;/author&gt;&lt;author&gt;Fraile, I. &lt;/author&gt;&lt;author&gt;Santiago, J.&lt;/author&gt;&lt;/authors&gt;&lt;/contributors&gt;&lt;titles&gt;&lt;title&gt;Movements and geographic distribution of juvenile bluefin tuna in the Northeast Atlantic, described through internal and satellite archival tags&lt;/title&gt;&lt;secondary-title&gt;ICES Journal of Marine Science&lt;/secondary-title&gt;&lt;/titles&gt;&lt;periodical&gt;&lt;full-title&gt;ICES Journal of Marine Science&lt;/full-title&gt;&lt;/periodical&gt;&lt;pages&gt;1560-1572&lt;/pages&gt;&lt;volume&gt;75&lt;/volume&gt;&lt;number&gt;5&lt;/number&gt;&lt;dates&gt;&lt;year&gt;2018&lt;/year&gt;&lt;/dates&gt;&lt;urls&gt;&lt;/urls&gt;&lt;/record&gt;&lt;/Cite&gt;&lt;/EndNote&gt;</w:instrText>
      </w:r>
      <w:r w:rsidRPr="006E04D7">
        <w:rPr>
          <w:rFonts w:ascii="Times New Roman" w:hAnsi="Times New Roman" w:cs="Times New Roman"/>
          <w:sz w:val="24"/>
          <w:szCs w:val="24"/>
        </w:rPr>
        <w:fldChar w:fldCharType="separate"/>
      </w:r>
      <w:r w:rsidR="00E875EB" w:rsidRPr="006E04D7">
        <w:rPr>
          <w:rFonts w:ascii="Times New Roman" w:hAnsi="Times New Roman" w:cs="Times New Roman"/>
          <w:noProof/>
          <w:sz w:val="24"/>
          <w:szCs w:val="24"/>
        </w:rPr>
        <w:t>[</w:t>
      </w:r>
      <w:hyperlink w:anchor="_ENREF_9" w:tooltip="Arregui, 2018 #269" w:history="1">
        <w:r w:rsidR="00CB2334" w:rsidRPr="006E04D7">
          <w:rPr>
            <w:rFonts w:ascii="Times New Roman" w:hAnsi="Times New Roman" w:cs="Times New Roman"/>
            <w:noProof/>
            <w:sz w:val="24"/>
            <w:szCs w:val="24"/>
          </w:rPr>
          <w:t>9</w:t>
        </w:r>
      </w:hyperlink>
      <w:r w:rsidR="00E875EB"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challenge previous assumptions regarding the seasonality and annual movements of Bluefin Tuna from Bay of Biscay, while demonstrating extensive </w:t>
      </w:r>
      <w:proofErr w:type="spellStart"/>
      <w:r w:rsidRPr="006E04D7">
        <w:rPr>
          <w:rFonts w:ascii="Times New Roman" w:hAnsi="Times New Roman" w:cs="Times New Roman"/>
          <w:sz w:val="24"/>
          <w:szCs w:val="24"/>
        </w:rPr>
        <w:t>spatio</w:t>
      </w:r>
      <w:proofErr w:type="spellEnd"/>
      <w:r w:rsidRPr="006E04D7">
        <w:rPr>
          <w:rFonts w:ascii="Times New Roman" w:hAnsi="Times New Roman" w:cs="Times New Roman"/>
          <w:sz w:val="24"/>
          <w:szCs w:val="24"/>
        </w:rPr>
        <w:t xml:space="preserve">-temporal dispersion. Satellite </w:t>
      </w:r>
      <w:proofErr w:type="spellStart"/>
      <w:r w:rsidRPr="006E04D7">
        <w:rPr>
          <w:rFonts w:ascii="Times New Roman" w:hAnsi="Times New Roman" w:cs="Times New Roman"/>
          <w:sz w:val="24"/>
          <w:szCs w:val="24"/>
        </w:rPr>
        <w:t>taggings</w:t>
      </w:r>
      <w:proofErr w:type="spellEnd"/>
      <w:r w:rsidRPr="006E04D7">
        <w:rPr>
          <w:rFonts w:ascii="Times New Roman" w:hAnsi="Times New Roman" w:cs="Times New Roman"/>
          <w:sz w:val="24"/>
          <w:szCs w:val="24"/>
        </w:rPr>
        <w:t xml:space="preserve"> and genetic tests show that Eastern and Western populations mix during migrations and the migration patterns also differs depending on the age and size of tuna and fluctuations in oceanographic </w:t>
      </w:r>
      <w:proofErr w:type="gramStart"/>
      <w:r w:rsidRPr="006E04D7">
        <w:rPr>
          <w:rFonts w:ascii="Times New Roman" w:hAnsi="Times New Roman" w:cs="Times New Roman"/>
          <w:sz w:val="24"/>
          <w:szCs w:val="24"/>
        </w:rPr>
        <w:t>conditions .</w:t>
      </w:r>
      <w:proofErr w:type="gramEnd"/>
      <w:r w:rsidRPr="006E04D7">
        <w:rPr>
          <w:rFonts w:ascii="Times New Roman" w:hAnsi="Times New Roman" w:cs="Times New Roman"/>
          <w:sz w:val="24"/>
          <w:szCs w:val="24"/>
        </w:rPr>
        <w:t xml:space="preserve"> The population of East Atlantic tuna is substantially larger than west and therefore the catch quota is higher (29000 tonnes for the Eastern Atlantic and the Mediterranean). The east side however faces problems such as rampant illegal fishing, over capacity and catches sign</w:t>
      </w:r>
      <w:r w:rsidR="00192E4F" w:rsidRPr="006E04D7">
        <w:rPr>
          <w:rFonts w:ascii="Times New Roman" w:hAnsi="Times New Roman" w:cs="Times New Roman"/>
          <w:sz w:val="24"/>
          <w:szCs w:val="24"/>
        </w:rPr>
        <w:t>ificantly higher than the quota</w:t>
      </w:r>
      <w:r w:rsidRPr="006E04D7">
        <w:rPr>
          <w:rFonts w:ascii="Times New Roman" w:hAnsi="Times New Roman" w:cs="Times New Roman"/>
          <w:sz w:val="24"/>
          <w:szCs w:val="24"/>
        </w:rPr>
        <w:t xml:space="preserve">.  </w:t>
      </w:r>
    </w:p>
    <w:p w14:paraId="7E22222F" w14:textId="77777777" w:rsidR="00EE44E1" w:rsidRPr="006E04D7" w:rsidRDefault="00EE44E1"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lastRenderedPageBreak/>
        <w:t xml:space="preserve">The effect and importance of water salinity is yet unclear in the literature, since in some studies it is suggested that it is not important in influencing oceanic distribution </w:t>
      </w:r>
      <w:r w:rsidRPr="006E04D7">
        <w:rPr>
          <w:rFonts w:ascii="Times New Roman" w:hAnsi="Times New Roman" w:cs="Times New Roman"/>
          <w:sz w:val="24"/>
          <w:szCs w:val="24"/>
        </w:rPr>
        <w:fldChar w:fldCharType="begin"/>
      </w:r>
      <w:r w:rsidR="00E875EB" w:rsidRPr="006E04D7">
        <w:rPr>
          <w:rFonts w:ascii="Times New Roman" w:hAnsi="Times New Roman" w:cs="Times New Roman"/>
          <w:sz w:val="24"/>
          <w:szCs w:val="24"/>
        </w:rPr>
        <w:instrText xml:space="preserve"> ADDIN EN.CITE &lt;EndNote&gt;&lt;Cite&gt;&lt;Author&gt;Sund&lt;/Author&gt;&lt;Year&gt;1981&lt;/Year&gt;&lt;RecNum&gt;263&lt;/RecNum&gt;&lt;DisplayText&gt;[10]&lt;/DisplayText&gt;&lt;record&gt;&lt;rec-number&gt;263&lt;/rec-number&gt;&lt;foreign-keys&gt;&lt;key app="EN" db-id="wffdwdt97adpw0eeedr5t2wbdwf5etardpas"&gt;263&lt;/key&gt;&lt;/foreign-keys&gt;&lt;ref-type name="Journal Article"&gt;17&lt;/ref-type&gt;&lt;contributors&gt;&lt;authors&gt;&lt;author&gt;Sund, P.N. &lt;/author&gt;&lt;author&gt;Blackburn, M. &lt;/author&gt;&lt;author&gt;William, F. &lt;/author&gt;&lt;/authors&gt;&lt;/contributors&gt;&lt;titles&gt;&lt;title&gt;Tunas and their environment in the Pacific ocean: a review&lt;/title&gt;&lt;secondary-title&gt;Oceanography Marine Biology Annual Review&lt;/secondary-title&gt;&lt;/titles&gt;&lt;periodical&gt;&lt;full-title&gt;Oceanography Marine Biology Annual Review&lt;/full-title&gt;&lt;/periodical&gt;&lt;pages&gt;443-512&lt;/pages&gt;&lt;volume&gt;19&lt;/volume&gt;&lt;dates&gt;&lt;year&gt;1981&lt;/year&gt;&lt;/dates&gt;&lt;urls&gt;&lt;/urls&gt;&lt;/record&gt;&lt;/Cite&gt;&lt;/EndNote&gt;</w:instrText>
      </w:r>
      <w:r w:rsidRPr="006E04D7">
        <w:rPr>
          <w:rFonts w:ascii="Times New Roman" w:hAnsi="Times New Roman" w:cs="Times New Roman"/>
          <w:sz w:val="24"/>
          <w:szCs w:val="24"/>
        </w:rPr>
        <w:fldChar w:fldCharType="separate"/>
      </w:r>
      <w:r w:rsidR="00E875EB" w:rsidRPr="006E04D7">
        <w:rPr>
          <w:rFonts w:ascii="Times New Roman" w:hAnsi="Times New Roman" w:cs="Times New Roman"/>
          <w:noProof/>
          <w:sz w:val="24"/>
          <w:szCs w:val="24"/>
        </w:rPr>
        <w:t>[</w:t>
      </w:r>
      <w:hyperlink w:anchor="_ENREF_10" w:tooltip="Sund, 1981 #263" w:history="1">
        <w:r w:rsidR="00CB2334" w:rsidRPr="006E04D7">
          <w:rPr>
            <w:rFonts w:ascii="Times New Roman" w:hAnsi="Times New Roman" w:cs="Times New Roman"/>
            <w:noProof/>
            <w:sz w:val="24"/>
            <w:szCs w:val="24"/>
          </w:rPr>
          <w:t>10</w:t>
        </w:r>
      </w:hyperlink>
      <w:r w:rsidR="00E875EB"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while others have found it to be important </w:t>
      </w:r>
      <w:r w:rsidRPr="006E04D7">
        <w:rPr>
          <w:rFonts w:ascii="Times New Roman" w:hAnsi="Times New Roman" w:cs="Times New Roman"/>
          <w:sz w:val="24"/>
          <w:szCs w:val="24"/>
        </w:rPr>
        <w:fldChar w:fldCharType="begin"/>
      </w:r>
      <w:r w:rsidR="00E875EB" w:rsidRPr="006E04D7">
        <w:rPr>
          <w:rFonts w:ascii="Times New Roman" w:hAnsi="Times New Roman" w:cs="Times New Roman"/>
          <w:sz w:val="24"/>
          <w:szCs w:val="24"/>
        </w:rPr>
        <w:instrText xml:space="preserve"> ADDIN EN.CITE &lt;EndNote&gt;&lt;Cite&gt;&lt;Author&gt;Bernal&lt;/Author&gt;&lt;Year&gt;2009&lt;/Year&gt;&lt;RecNum&gt;265&lt;/RecNum&gt;&lt;DisplayText&gt;[1, 11]&lt;/DisplayText&gt;&lt;record&gt;&lt;rec-number&gt;265&lt;/rec-number&gt;&lt;foreign-keys&gt;&lt;key app="EN" db-id="wffdwdt97adpw0eeedr5t2wbdwf5etardpas"&gt;265&lt;/key&gt;&lt;/foreign-keys&gt;&lt;ref-type name="Journal Article"&gt;17&lt;/ref-type&gt;&lt;contributors&gt;&lt;authors&gt;&lt;author&gt;Bernal, D. &lt;/author&gt;&lt;author&gt;Sepulveda, C. &lt;/author&gt;&lt;author&gt;Musyl, M. &lt;/author&gt;&lt;author&gt;Brill, R.&lt;/author&gt;&lt;/authors&gt;&lt;/contributors&gt;&lt;titles&gt;&lt;title&gt;The eco-physiology of swimming and movement patterns of tunas, billfishes, and large pelagic sharks&lt;/title&gt;&lt;secondary-title&gt;Fish Locomotion-an Etho-ecological Perspective&lt;/secondary-title&gt;&lt;/titles&gt;&lt;periodical&gt;&lt;full-title&gt;Fish Locomotion-an Etho-ecological Perspective&lt;/full-title&gt;&lt;/periodical&gt;&lt;pages&gt;436-483&lt;/pages&gt;&lt;dates&gt;&lt;year&gt;2009&lt;/year&gt;&lt;/dates&gt;&lt;urls&gt;&lt;/urls&gt;&lt;/record&gt;&lt;/Cite&gt;&lt;Cite&gt;&lt;Author&gt;Reygondeau&lt;/Author&gt;&lt;Year&gt;2011&lt;/Year&gt;&lt;RecNum&gt;264&lt;/RecNum&gt;&lt;record&gt;&lt;rec-number&gt;264&lt;/rec-number&gt;&lt;foreign-keys&gt;&lt;key app="EN" db-id="wffdwdt97adpw0eeedr5t2wbdwf5etardpas"&gt;264&lt;/key&gt;&lt;/foreign-keys&gt;&lt;ref-type name="Journal Article"&gt;17&lt;/ref-type&gt;&lt;contributors&gt;&lt;authors&gt;&lt;author&gt;Reygondeau, G. &lt;/author&gt;&lt;author&gt;Maury, O. &lt;/author&gt;&lt;author&gt;Beaugrand, G.&lt;/author&gt;&lt;author&gt;Fromentin, J. M. &lt;/author&gt;&lt;author&gt;Fonteneau, A. &lt;/author&gt;&lt;/authors&gt;&lt;/contributors&gt;&lt;titles&gt;&lt;title&gt;Biogeography of tuna and billfish communities&lt;/title&gt;&lt;secondary-title&gt;Journal of Biogeography&lt;/secondary-title&gt;&lt;/titles&gt;&lt;periodical&gt;&lt;full-title&gt;Journal of Biogeography&lt;/full-title&gt;&lt;/periodical&gt;&lt;pages&gt;114-129&lt;/pages&gt;&lt;volume&gt;39&lt;/volume&gt;&lt;dates&gt;&lt;year&gt;2011&lt;/year&gt;&lt;/dates&gt;&lt;urls&gt;&lt;/urls&gt;&lt;/record&gt;&lt;/Cite&gt;&lt;/EndNote&gt;</w:instrText>
      </w:r>
      <w:r w:rsidRPr="006E04D7">
        <w:rPr>
          <w:rFonts w:ascii="Times New Roman" w:hAnsi="Times New Roman" w:cs="Times New Roman"/>
          <w:sz w:val="24"/>
          <w:szCs w:val="24"/>
        </w:rPr>
        <w:fldChar w:fldCharType="separate"/>
      </w:r>
      <w:r w:rsidR="00E875EB" w:rsidRPr="006E04D7">
        <w:rPr>
          <w:rFonts w:ascii="Times New Roman" w:hAnsi="Times New Roman" w:cs="Times New Roman"/>
          <w:noProof/>
          <w:sz w:val="24"/>
          <w:szCs w:val="24"/>
        </w:rPr>
        <w:t>[</w:t>
      </w:r>
      <w:hyperlink w:anchor="_ENREF_1" w:tooltip="Reygondeau, 2011 #264" w:history="1">
        <w:r w:rsidR="00CB2334" w:rsidRPr="006E04D7">
          <w:rPr>
            <w:rFonts w:ascii="Times New Roman" w:hAnsi="Times New Roman" w:cs="Times New Roman"/>
            <w:noProof/>
            <w:sz w:val="24"/>
            <w:szCs w:val="24"/>
          </w:rPr>
          <w:t>1</w:t>
        </w:r>
      </w:hyperlink>
      <w:r w:rsidR="00E875EB" w:rsidRPr="006E04D7">
        <w:rPr>
          <w:rFonts w:ascii="Times New Roman" w:hAnsi="Times New Roman" w:cs="Times New Roman"/>
          <w:noProof/>
          <w:sz w:val="24"/>
          <w:szCs w:val="24"/>
        </w:rPr>
        <w:t xml:space="preserve">, </w:t>
      </w:r>
      <w:hyperlink w:anchor="_ENREF_11" w:tooltip="Bernal, 2009 #265" w:history="1">
        <w:r w:rsidR="00CB2334" w:rsidRPr="006E04D7">
          <w:rPr>
            <w:rFonts w:ascii="Times New Roman" w:hAnsi="Times New Roman" w:cs="Times New Roman"/>
            <w:noProof/>
            <w:sz w:val="24"/>
            <w:szCs w:val="24"/>
          </w:rPr>
          <w:t>11</w:t>
        </w:r>
      </w:hyperlink>
      <w:r w:rsidR="00E875EB"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 Based on the GAMS result in </w:t>
      </w:r>
      <w:r w:rsidRPr="006E04D7">
        <w:rPr>
          <w:rFonts w:ascii="Times New Roman" w:hAnsi="Times New Roman" w:cs="Times New Roman"/>
          <w:sz w:val="24"/>
          <w:szCs w:val="24"/>
        </w:rPr>
        <w:fldChar w:fldCharType="begin"/>
      </w:r>
      <w:r w:rsidR="00E875EB" w:rsidRPr="006E04D7">
        <w:rPr>
          <w:rFonts w:ascii="Times New Roman" w:hAnsi="Times New Roman" w:cs="Times New Roman"/>
          <w:sz w:val="24"/>
          <w:szCs w:val="24"/>
        </w:rPr>
        <w:instrText xml:space="preserve"> ADDIN EN.CITE &lt;EndNote&gt;&lt;Cite&gt;&lt;Author&gt;Arrizabalaga&lt;/Author&gt;&lt;Year&gt;2015&lt;/Year&gt;&lt;RecNum&gt;262&lt;/RecNum&gt;&lt;DisplayText&gt;[6]&lt;/DisplayText&gt;&lt;record&gt;&lt;rec-number&gt;262&lt;/rec-number&gt;&lt;foreign-keys&gt;&lt;key app="EN" db-id="wffdwdt97adpw0eeedr5t2wbdwf5etardpas"&gt;262&lt;/key&gt;&lt;/foreign-keys&gt;&lt;ref-type name="Journal Article"&gt;17&lt;/ref-type&gt;&lt;contributors&gt;&lt;authors&gt;&lt;author&gt;Arrizabalaga, H. &lt;/author&gt;&lt;author&gt;Dufour, F. &lt;/author&gt;&lt;author&gt;Kell, L. &lt;/author&gt;&lt;author&gt;Merino, G. &lt;/author&gt;&lt;author&gt;Ibaibarriaga, L. &lt;/author&gt;&lt;author&gt;Chust, G.&lt;/author&gt;&lt;/authors&gt;&lt;/contributors&gt;&lt;titles&gt;&lt;title&gt;Global habitat preferences of commercially valuable tuna&lt;/title&gt;&lt;secondary-title&gt;Deep-Sea Research II&lt;/secondary-title&gt;&lt;/titles&gt;&lt;periodical&gt;&lt;full-title&gt;Deep-Sea Research II&lt;/full-title&gt;&lt;/periodical&gt;&lt;pages&gt;102-112&lt;/pages&gt;&lt;volume&gt;113&lt;/volume&gt;&lt;dates&gt;&lt;year&gt;2015&lt;/year&gt;&lt;/dates&gt;&lt;urls&gt;&lt;/urls&gt;&lt;/record&gt;&lt;/Cite&gt;&lt;/EndNote&gt;</w:instrText>
      </w:r>
      <w:r w:rsidRPr="006E04D7">
        <w:rPr>
          <w:rFonts w:ascii="Times New Roman" w:hAnsi="Times New Roman" w:cs="Times New Roman"/>
          <w:sz w:val="24"/>
          <w:szCs w:val="24"/>
        </w:rPr>
        <w:fldChar w:fldCharType="separate"/>
      </w:r>
      <w:r w:rsidR="00E875EB" w:rsidRPr="006E04D7">
        <w:rPr>
          <w:rFonts w:ascii="Times New Roman" w:hAnsi="Times New Roman" w:cs="Times New Roman"/>
          <w:noProof/>
          <w:sz w:val="24"/>
          <w:szCs w:val="24"/>
        </w:rPr>
        <w:t>[</w:t>
      </w:r>
      <w:hyperlink w:anchor="_ENREF_6" w:tooltip="Arrizabalaga, 2015 #262" w:history="1">
        <w:r w:rsidR="00CB2334" w:rsidRPr="006E04D7">
          <w:rPr>
            <w:rFonts w:ascii="Times New Roman" w:hAnsi="Times New Roman" w:cs="Times New Roman"/>
            <w:noProof/>
            <w:sz w:val="24"/>
            <w:szCs w:val="24"/>
          </w:rPr>
          <w:t>6</w:t>
        </w:r>
      </w:hyperlink>
      <w:r w:rsidR="00E875EB"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the importance of water salinity has been supported and it shows variable response curves for all the species considered in their study. Trophic resources play a major role in the spatial distribution of tunas, and lower salinity could indicate favourable trophic areas induced by fluvial water supplies </w:t>
      </w:r>
      <w:r w:rsidRPr="006E04D7">
        <w:rPr>
          <w:rFonts w:ascii="Times New Roman" w:hAnsi="Times New Roman" w:cs="Times New Roman"/>
          <w:sz w:val="24"/>
          <w:szCs w:val="24"/>
        </w:rPr>
        <w:fldChar w:fldCharType="begin"/>
      </w:r>
      <w:r w:rsidR="00E875EB" w:rsidRPr="006E04D7">
        <w:rPr>
          <w:rFonts w:ascii="Times New Roman" w:hAnsi="Times New Roman" w:cs="Times New Roman"/>
          <w:sz w:val="24"/>
          <w:szCs w:val="24"/>
        </w:rPr>
        <w:instrText xml:space="preserve"> ADDIN EN.CITE &lt;EndNote&gt;&lt;Cite&gt;&lt;Author&gt;Maury&lt;/Author&gt;&lt;Year&gt;2001&lt;/Year&gt;&lt;RecNum&gt;266&lt;/RecNum&gt;&lt;DisplayText&gt;[12]&lt;/DisplayText&gt;&lt;record&gt;&lt;rec-number&gt;266&lt;/rec-number&gt;&lt;foreign-keys&gt;&lt;key app="EN" db-id="wffdwdt97adpw0eeedr5t2wbdwf5etardpas"&gt;266&lt;/key&gt;&lt;/foreign-keys&gt;&lt;ref-type name="Journal Article"&gt;17&lt;/ref-type&gt;&lt;contributors&gt;&lt;authors&gt;&lt;author&gt;Maury, O.&lt;/author&gt;&lt;author&gt;Gascuel, D.&lt;/author&gt;&lt;author&gt;Marsac, F. &lt;/author&gt;&lt;author&gt;Fonteneau, A.&lt;/author&gt;&lt;/authors&gt;&lt;/contributors&gt;&lt;titles&gt;&lt;title&gt;Hierarchical interpretation of nonlinear relationships linking yellowfin tuna (Thunnus albacares) distribution to the environment in the Atlantic Ocean&lt;/title&gt;&lt;secondary-title&gt;Canadian Journal of Fisheries and Aquatic Sciences&lt;/secondary-title&gt;&lt;/titles&gt;&lt;periodical&gt;&lt;full-title&gt;Canadian Journal of Fisheries and Aquatic Sciences&lt;/full-title&gt;&lt;/periodical&gt;&lt;pages&gt;458-469&lt;/pages&gt;&lt;volume&gt;58&lt;/volume&gt;&lt;number&gt;3&lt;/number&gt;&lt;dates&gt;&lt;year&gt;2001&lt;/year&gt;&lt;/dates&gt;&lt;urls&gt;&lt;/urls&gt;&lt;/record&gt;&lt;/Cite&gt;&lt;/EndNote&gt;</w:instrText>
      </w:r>
      <w:r w:rsidRPr="006E04D7">
        <w:rPr>
          <w:rFonts w:ascii="Times New Roman" w:hAnsi="Times New Roman" w:cs="Times New Roman"/>
          <w:sz w:val="24"/>
          <w:szCs w:val="24"/>
        </w:rPr>
        <w:fldChar w:fldCharType="separate"/>
      </w:r>
      <w:r w:rsidR="00E875EB" w:rsidRPr="006E04D7">
        <w:rPr>
          <w:rFonts w:ascii="Times New Roman" w:hAnsi="Times New Roman" w:cs="Times New Roman"/>
          <w:noProof/>
          <w:sz w:val="24"/>
          <w:szCs w:val="24"/>
        </w:rPr>
        <w:t>[</w:t>
      </w:r>
      <w:hyperlink w:anchor="_ENREF_12" w:tooltip="Maury, 2001 #266" w:history="1">
        <w:r w:rsidR="00CB2334" w:rsidRPr="006E04D7">
          <w:rPr>
            <w:rFonts w:ascii="Times New Roman" w:hAnsi="Times New Roman" w:cs="Times New Roman"/>
            <w:noProof/>
            <w:sz w:val="24"/>
            <w:szCs w:val="24"/>
          </w:rPr>
          <w:t>12</w:t>
        </w:r>
      </w:hyperlink>
      <w:r w:rsidR="00E875EB"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w:t>
      </w:r>
    </w:p>
    <w:p w14:paraId="1E1CCE71" w14:textId="62664590" w:rsidR="00FA1FE0" w:rsidRPr="006E04D7" w:rsidRDefault="00FA1FE0" w:rsidP="009362CA">
      <w:pPr>
        <w:pStyle w:val="Heading2"/>
      </w:pPr>
      <w:r w:rsidRPr="006E04D7">
        <w:t xml:space="preserve">Bluefin Tuna catch </w:t>
      </w:r>
      <w:r w:rsidR="00E83A7E" w:rsidRPr="006E04D7">
        <w:t>(1995-2017)</w:t>
      </w:r>
    </w:p>
    <w:p w14:paraId="52289872" w14:textId="77777777" w:rsidR="005667B1" w:rsidRPr="006E04D7" w:rsidRDefault="002E0C1A"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In this section the amount of catch (Tonnes) is reported for the period between (1995-2017) for three regions of Mediterranean Sea, East</w:t>
      </w:r>
      <w:r w:rsidR="000C13A9" w:rsidRPr="006E04D7">
        <w:rPr>
          <w:rFonts w:ascii="Times New Roman" w:hAnsi="Times New Roman" w:cs="Times New Roman"/>
          <w:sz w:val="24"/>
          <w:szCs w:val="24"/>
        </w:rPr>
        <w:t xml:space="preserve"> and west</w:t>
      </w:r>
      <w:r w:rsidRPr="006E04D7">
        <w:rPr>
          <w:rFonts w:ascii="Times New Roman" w:hAnsi="Times New Roman" w:cs="Times New Roman"/>
          <w:sz w:val="24"/>
          <w:szCs w:val="24"/>
        </w:rPr>
        <w:t xml:space="preserve"> Atlantic. </w:t>
      </w:r>
      <w:r w:rsidR="005667B1" w:rsidRPr="006E04D7">
        <w:rPr>
          <w:rFonts w:ascii="Times New Roman" w:hAnsi="Times New Roman" w:cs="Times New Roman"/>
          <w:sz w:val="24"/>
          <w:szCs w:val="24"/>
        </w:rPr>
        <w:t xml:space="preserve"> Although the Mediterranean is part of the East </w:t>
      </w:r>
      <w:proofErr w:type="gramStart"/>
      <w:r w:rsidR="005667B1" w:rsidRPr="006E04D7">
        <w:rPr>
          <w:rFonts w:ascii="Times New Roman" w:hAnsi="Times New Roman" w:cs="Times New Roman"/>
          <w:sz w:val="24"/>
          <w:szCs w:val="24"/>
        </w:rPr>
        <w:t>Atlantic ,</w:t>
      </w:r>
      <w:proofErr w:type="gramEnd"/>
      <w:r w:rsidR="005667B1" w:rsidRPr="006E04D7">
        <w:rPr>
          <w:rFonts w:ascii="Times New Roman" w:hAnsi="Times New Roman" w:cs="Times New Roman"/>
          <w:sz w:val="24"/>
          <w:szCs w:val="24"/>
        </w:rPr>
        <w:t xml:space="preserve"> its catch data has been analysed </w:t>
      </w:r>
      <w:r w:rsidR="000C13A9" w:rsidRPr="006E04D7">
        <w:rPr>
          <w:rFonts w:ascii="Times New Roman" w:hAnsi="Times New Roman" w:cs="Times New Roman"/>
          <w:sz w:val="24"/>
          <w:szCs w:val="24"/>
        </w:rPr>
        <w:t>separately</w:t>
      </w:r>
      <w:r w:rsidR="005667B1" w:rsidRPr="006E04D7">
        <w:rPr>
          <w:rFonts w:ascii="Times New Roman" w:hAnsi="Times New Roman" w:cs="Times New Roman"/>
          <w:sz w:val="24"/>
          <w:szCs w:val="24"/>
        </w:rPr>
        <w:t>.</w:t>
      </w:r>
    </w:p>
    <w:p w14:paraId="7A6D2D9E" w14:textId="77777777" w:rsidR="00FA1FE0" w:rsidRPr="006E04D7" w:rsidRDefault="002E0C1A"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The catch data has been retrieved from the ICCAT database</w:t>
      </w:r>
      <w:r w:rsidR="00D6484C" w:rsidRPr="006E04D7">
        <w:rPr>
          <w:rFonts w:ascii="Times New Roman" w:hAnsi="Times New Roman" w:cs="Times New Roman"/>
          <w:sz w:val="24"/>
          <w:szCs w:val="24"/>
        </w:rPr>
        <w:t xml:space="preserve"> </w:t>
      </w:r>
      <w:r w:rsidR="00D6484C" w:rsidRPr="006E04D7">
        <w:rPr>
          <w:rFonts w:ascii="Times New Roman" w:hAnsi="Times New Roman" w:cs="Times New Roman"/>
          <w:sz w:val="24"/>
          <w:szCs w:val="24"/>
        </w:rPr>
        <w:fldChar w:fldCharType="begin"/>
      </w:r>
      <w:r w:rsidR="00D6484C" w:rsidRPr="006E04D7">
        <w:rPr>
          <w:rFonts w:ascii="Times New Roman" w:hAnsi="Times New Roman" w:cs="Times New Roman"/>
          <w:sz w:val="24"/>
          <w:szCs w:val="24"/>
        </w:rPr>
        <w:instrText xml:space="preserve"> ADDIN EN.CITE &lt;EndNote&gt;&lt;Cite&gt;&lt;Author&gt;ICCAT&lt;/Author&gt;&lt;Year&gt;2017&lt;/Year&gt;&lt;RecNum&gt;296&lt;/RecNum&gt;&lt;DisplayText&gt;[17]&lt;/DisplayText&gt;&lt;record&gt;&lt;rec-number&gt;296&lt;/rec-number&gt;&lt;foreign-keys&gt;&lt;key app="EN" db-id="wffdwdt97adpw0eeedr5t2wbdwf5etardpas"&gt;296&lt;/key&gt;&lt;/foreign-keys&gt;&lt;ref-type name="Journal Article"&gt;17&lt;/ref-type&gt;&lt;contributors&gt;&lt;authors&gt;&lt;author&gt;ICCAT &lt;/author&gt;&lt;/authors&gt;&lt;/contributors&gt;&lt;titles&gt;&lt;title&gt;Statistical database&lt;/title&gt;&lt;secondary-title&gt;https://www.iccat.int/en/accesingdb.html&lt;/secondary-title&gt;&lt;/titles&gt;&lt;periodical&gt;&lt;full-title&gt;https://www.iccat.int/en/accesingdb.html&lt;/full-title&gt;&lt;/periodical&gt;&lt;dates&gt;&lt;year&gt;2017&lt;/year&gt;&lt;/dates&gt;&lt;urls&gt;&lt;/urls&gt;&lt;/record&gt;&lt;/Cite&gt;&lt;/EndNote&gt;</w:instrText>
      </w:r>
      <w:r w:rsidR="00D6484C" w:rsidRPr="006E04D7">
        <w:rPr>
          <w:rFonts w:ascii="Times New Roman" w:hAnsi="Times New Roman" w:cs="Times New Roman"/>
          <w:sz w:val="24"/>
          <w:szCs w:val="24"/>
        </w:rPr>
        <w:fldChar w:fldCharType="separate"/>
      </w:r>
      <w:r w:rsidR="00D6484C" w:rsidRPr="006E04D7">
        <w:rPr>
          <w:rFonts w:ascii="Times New Roman" w:hAnsi="Times New Roman" w:cs="Times New Roman"/>
          <w:noProof/>
          <w:sz w:val="24"/>
          <w:szCs w:val="24"/>
        </w:rPr>
        <w:t>[</w:t>
      </w:r>
      <w:hyperlink w:anchor="_ENREF_17" w:tooltip="ICCAT, 2017 #296" w:history="1">
        <w:r w:rsidR="00CB2334" w:rsidRPr="006E04D7">
          <w:rPr>
            <w:rFonts w:ascii="Times New Roman" w:hAnsi="Times New Roman" w:cs="Times New Roman"/>
            <w:noProof/>
            <w:sz w:val="24"/>
            <w:szCs w:val="24"/>
          </w:rPr>
          <w:t>17</w:t>
        </w:r>
      </w:hyperlink>
      <w:r w:rsidR="00D6484C" w:rsidRPr="006E04D7">
        <w:rPr>
          <w:rFonts w:ascii="Times New Roman" w:hAnsi="Times New Roman" w:cs="Times New Roman"/>
          <w:noProof/>
          <w:sz w:val="24"/>
          <w:szCs w:val="24"/>
        </w:rPr>
        <w:t>]</w:t>
      </w:r>
      <w:r w:rsidR="00D6484C"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There are 8 main gear types in this analysis namely the </w:t>
      </w:r>
      <w:proofErr w:type="spellStart"/>
      <w:r w:rsidRPr="006E04D7">
        <w:rPr>
          <w:rFonts w:ascii="Times New Roman" w:hAnsi="Times New Roman" w:cs="Times New Roman"/>
          <w:sz w:val="24"/>
          <w:szCs w:val="24"/>
        </w:rPr>
        <w:t>Baitboat</w:t>
      </w:r>
      <w:proofErr w:type="spellEnd"/>
      <w:r w:rsidRPr="006E04D7">
        <w:rPr>
          <w:rFonts w:ascii="Times New Roman" w:hAnsi="Times New Roman" w:cs="Times New Roman"/>
          <w:sz w:val="24"/>
          <w:szCs w:val="24"/>
        </w:rPr>
        <w:t>(bb), HL</w:t>
      </w:r>
      <w:r w:rsidR="0031082D" w:rsidRPr="006E04D7">
        <w:rPr>
          <w:rFonts w:ascii="Times New Roman" w:hAnsi="Times New Roman" w:cs="Times New Roman"/>
          <w:sz w:val="24"/>
          <w:szCs w:val="24"/>
        </w:rPr>
        <w:t>(Handline)</w:t>
      </w:r>
      <w:r w:rsidRPr="006E04D7">
        <w:rPr>
          <w:rFonts w:ascii="Times New Roman" w:hAnsi="Times New Roman" w:cs="Times New Roman"/>
          <w:sz w:val="24"/>
          <w:szCs w:val="24"/>
        </w:rPr>
        <w:t>, Longline(LL), Purse Seine(PS), RR</w:t>
      </w:r>
      <w:r w:rsidR="00C2666F" w:rsidRPr="006E04D7">
        <w:rPr>
          <w:rFonts w:ascii="Times New Roman" w:hAnsi="Times New Roman" w:cs="Times New Roman"/>
          <w:sz w:val="24"/>
          <w:szCs w:val="24"/>
        </w:rPr>
        <w:t>(Rod-and-reel)</w:t>
      </w:r>
      <w:r w:rsidRPr="006E04D7">
        <w:rPr>
          <w:rFonts w:ascii="Times New Roman" w:hAnsi="Times New Roman" w:cs="Times New Roman"/>
          <w:sz w:val="24"/>
          <w:szCs w:val="24"/>
        </w:rPr>
        <w:t>,</w:t>
      </w:r>
      <w:r w:rsidR="00FC6A61" w:rsidRPr="006E04D7">
        <w:rPr>
          <w:rFonts w:ascii="Times New Roman" w:hAnsi="Times New Roman" w:cs="Times New Roman"/>
          <w:sz w:val="24"/>
          <w:szCs w:val="24"/>
        </w:rPr>
        <w:t xml:space="preserve"> Trap</w:t>
      </w:r>
      <w:r w:rsidRPr="006E04D7">
        <w:rPr>
          <w:rFonts w:ascii="Times New Roman" w:hAnsi="Times New Roman" w:cs="Times New Roman"/>
          <w:sz w:val="24"/>
          <w:szCs w:val="24"/>
        </w:rPr>
        <w:t xml:space="preserve"> </w:t>
      </w:r>
      <w:r w:rsidR="00FC6A61" w:rsidRPr="006E04D7">
        <w:rPr>
          <w:rFonts w:ascii="Times New Roman" w:hAnsi="Times New Roman" w:cs="Times New Roman"/>
          <w:sz w:val="24"/>
          <w:szCs w:val="24"/>
        </w:rPr>
        <w:t>(</w:t>
      </w:r>
      <w:r w:rsidRPr="006E04D7">
        <w:rPr>
          <w:rFonts w:ascii="Times New Roman" w:hAnsi="Times New Roman" w:cs="Times New Roman"/>
          <w:sz w:val="24"/>
          <w:szCs w:val="24"/>
        </w:rPr>
        <w:t>TP</w:t>
      </w:r>
      <w:r w:rsidR="00FC6A61" w:rsidRPr="006E04D7">
        <w:rPr>
          <w:rFonts w:ascii="Times New Roman" w:hAnsi="Times New Roman" w:cs="Times New Roman"/>
          <w:sz w:val="24"/>
          <w:szCs w:val="24"/>
        </w:rPr>
        <w:t>)</w:t>
      </w:r>
      <w:r w:rsidRPr="006E04D7">
        <w:rPr>
          <w:rFonts w:ascii="Times New Roman" w:hAnsi="Times New Roman" w:cs="Times New Roman"/>
          <w:sz w:val="24"/>
          <w:szCs w:val="24"/>
        </w:rPr>
        <w:t xml:space="preserve">, </w:t>
      </w:r>
      <w:r w:rsidR="00E759F4" w:rsidRPr="006E04D7">
        <w:rPr>
          <w:rFonts w:ascii="Times New Roman" w:hAnsi="Times New Roman" w:cs="Times New Roman"/>
          <w:sz w:val="24"/>
          <w:szCs w:val="24"/>
        </w:rPr>
        <w:t>Trol</w:t>
      </w:r>
      <w:r w:rsidR="00FC6A61" w:rsidRPr="006E04D7">
        <w:rPr>
          <w:rFonts w:ascii="Times New Roman" w:hAnsi="Times New Roman" w:cs="Times New Roman"/>
          <w:sz w:val="24"/>
          <w:szCs w:val="24"/>
        </w:rPr>
        <w:t>l (</w:t>
      </w:r>
      <w:r w:rsidRPr="006E04D7">
        <w:rPr>
          <w:rFonts w:ascii="Times New Roman" w:hAnsi="Times New Roman" w:cs="Times New Roman"/>
          <w:sz w:val="24"/>
          <w:szCs w:val="24"/>
        </w:rPr>
        <w:t>T</w:t>
      </w:r>
      <w:r w:rsidR="00C2666F" w:rsidRPr="006E04D7">
        <w:rPr>
          <w:rFonts w:ascii="Times New Roman" w:hAnsi="Times New Roman" w:cs="Times New Roman"/>
          <w:sz w:val="24"/>
          <w:szCs w:val="24"/>
        </w:rPr>
        <w:t>R</w:t>
      </w:r>
      <w:r w:rsidR="00FC6A61" w:rsidRPr="006E04D7">
        <w:rPr>
          <w:rFonts w:ascii="Times New Roman" w:hAnsi="Times New Roman" w:cs="Times New Roman"/>
          <w:sz w:val="24"/>
          <w:szCs w:val="24"/>
        </w:rPr>
        <w:t>)</w:t>
      </w:r>
      <w:r w:rsidRPr="006E04D7">
        <w:rPr>
          <w:rFonts w:ascii="Times New Roman" w:hAnsi="Times New Roman" w:cs="Times New Roman"/>
          <w:sz w:val="24"/>
          <w:szCs w:val="24"/>
        </w:rPr>
        <w:t xml:space="preserve"> and Other.</w:t>
      </w:r>
      <w:r w:rsidR="00964FD2" w:rsidRPr="006E04D7">
        <w:rPr>
          <w:rFonts w:ascii="Times New Roman" w:hAnsi="Times New Roman" w:cs="Times New Roman"/>
          <w:sz w:val="24"/>
          <w:szCs w:val="24"/>
        </w:rPr>
        <w:t xml:space="preserve"> The fishing gears are different </w:t>
      </w:r>
      <w:proofErr w:type="spellStart"/>
      <w:r w:rsidR="00964FD2" w:rsidRPr="006E04D7">
        <w:rPr>
          <w:rFonts w:ascii="Times New Roman" w:hAnsi="Times New Roman" w:cs="Times New Roman"/>
          <w:sz w:val="24"/>
          <w:szCs w:val="24"/>
        </w:rPr>
        <w:t>interms</w:t>
      </w:r>
      <w:proofErr w:type="spellEnd"/>
      <w:r w:rsidR="00964FD2" w:rsidRPr="006E04D7">
        <w:rPr>
          <w:rFonts w:ascii="Times New Roman" w:hAnsi="Times New Roman" w:cs="Times New Roman"/>
          <w:sz w:val="24"/>
          <w:szCs w:val="24"/>
        </w:rPr>
        <w:t xml:space="preserve"> of their structure, method of operation, standards of catch procedure and material used</w:t>
      </w:r>
      <w:r w:rsidR="00204779" w:rsidRPr="006E04D7">
        <w:rPr>
          <w:rFonts w:ascii="Times New Roman" w:hAnsi="Times New Roman" w:cs="Times New Roman"/>
          <w:sz w:val="24"/>
          <w:szCs w:val="24"/>
        </w:rPr>
        <w:t xml:space="preserve"> and </w:t>
      </w:r>
      <w:r w:rsidR="00964FD2" w:rsidRPr="006E04D7">
        <w:rPr>
          <w:rFonts w:ascii="Times New Roman" w:hAnsi="Times New Roman" w:cs="Times New Roman"/>
          <w:sz w:val="24"/>
          <w:szCs w:val="24"/>
        </w:rPr>
        <w:t xml:space="preserve">continually change and adapt as the understanding on the species behaviour increases. </w:t>
      </w:r>
      <w:r w:rsidRPr="006E04D7">
        <w:rPr>
          <w:rFonts w:ascii="Times New Roman" w:hAnsi="Times New Roman" w:cs="Times New Roman"/>
          <w:sz w:val="24"/>
          <w:szCs w:val="24"/>
        </w:rPr>
        <w:t xml:space="preserve"> In the remainder of this section, each</w:t>
      </w:r>
      <w:r w:rsidR="0031082D" w:rsidRPr="006E04D7">
        <w:rPr>
          <w:rFonts w:ascii="Times New Roman" w:hAnsi="Times New Roman" w:cs="Times New Roman"/>
          <w:sz w:val="24"/>
          <w:szCs w:val="24"/>
        </w:rPr>
        <w:t xml:space="preserve"> of the three</w:t>
      </w:r>
      <w:r w:rsidRPr="006E04D7">
        <w:rPr>
          <w:rFonts w:ascii="Times New Roman" w:hAnsi="Times New Roman" w:cs="Times New Roman"/>
          <w:sz w:val="24"/>
          <w:szCs w:val="24"/>
        </w:rPr>
        <w:t xml:space="preserve"> region</w:t>
      </w:r>
      <w:r w:rsidR="0031082D" w:rsidRPr="006E04D7">
        <w:rPr>
          <w:rFonts w:ascii="Times New Roman" w:hAnsi="Times New Roman" w:cs="Times New Roman"/>
          <w:sz w:val="24"/>
          <w:szCs w:val="24"/>
        </w:rPr>
        <w:t>s</w:t>
      </w:r>
      <w:r w:rsidRPr="006E04D7">
        <w:rPr>
          <w:rFonts w:ascii="Times New Roman" w:hAnsi="Times New Roman" w:cs="Times New Roman"/>
          <w:sz w:val="24"/>
          <w:szCs w:val="24"/>
        </w:rPr>
        <w:t xml:space="preserve"> </w:t>
      </w:r>
      <w:r w:rsidR="0031082D" w:rsidRPr="006E04D7">
        <w:rPr>
          <w:rFonts w:ascii="Times New Roman" w:hAnsi="Times New Roman" w:cs="Times New Roman"/>
          <w:sz w:val="24"/>
          <w:szCs w:val="24"/>
        </w:rPr>
        <w:t xml:space="preserve">are </w:t>
      </w:r>
      <w:r w:rsidRPr="006E04D7">
        <w:rPr>
          <w:rFonts w:ascii="Times New Roman" w:hAnsi="Times New Roman" w:cs="Times New Roman"/>
          <w:sz w:val="24"/>
          <w:szCs w:val="24"/>
        </w:rPr>
        <w:t xml:space="preserve">reported separately following a comparison between the three regions.  </w:t>
      </w:r>
    </w:p>
    <w:p w14:paraId="497C0F4B" w14:textId="77777777" w:rsidR="00667AEC" w:rsidRPr="006E04D7" w:rsidRDefault="00667AEC" w:rsidP="004D3DA3">
      <w:pPr>
        <w:pStyle w:val="Heading3"/>
        <w:rPr>
          <w:rFonts w:ascii="Times New Roman" w:hAnsi="Times New Roman" w:cs="Times New Roman"/>
        </w:rPr>
      </w:pPr>
      <w:r w:rsidRPr="006E04D7">
        <w:rPr>
          <w:rFonts w:ascii="Times New Roman" w:hAnsi="Times New Roman" w:cs="Times New Roman"/>
        </w:rPr>
        <w:t>Mediterranean Sea</w:t>
      </w:r>
    </w:p>
    <w:p w14:paraId="376384B1" w14:textId="77777777" w:rsidR="00FC6A61" w:rsidRPr="006E04D7" w:rsidRDefault="00667AEC"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 xml:space="preserve">The countries included in the Mediterranean region are </w:t>
      </w:r>
      <w:r w:rsidR="00956422" w:rsidRPr="006E04D7">
        <w:rPr>
          <w:rFonts w:ascii="Times New Roman" w:hAnsi="Times New Roman" w:cs="Times New Roman"/>
          <w:sz w:val="24"/>
          <w:szCs w:val="24"/>
        </w:rPr>
        <w:t>European Union (</w:t>
      </w:r>
      <w:r w:rsidRPr="006E04D7">
        <w:rPr>
          <w:rFonts w:ascii="Times New Roman" w:hAnsi="Times New Roman" w:cs="Times New Roman"/>
          <w:sz w:val="24"/>
          <w:szCs w:val="24"/>
        </w:rPr>
        <w:t>Spain, France, Italy,</w:t>
      </w:r>
      <w:r w:rsidR="005667B1" w:rsidRPr="006E04D7">
        <w:rPr>
          <w:rFonts w:ascii="Times New Roman" w:hAnsi="Times New Roman" w:cs="Times New Roman"/>
          <w:sz w:val="24"/>
          <w:szCs w:val="24"/>
        </w:rPr>
        <w:t xml:space="preserve"> </w:t>
      </w:r>
      <w:r w:rsidRPr="006E04D7">
        <w:rPr>
          <w:rFonts w:ascii="Times New Roman" w:hAnsi="Times New Roman" w:cs="Times New Roman"/>
          <w:sz w:val="24"/>
          <w:szCs w:val="24"/>
        </w:rPr>
        <w:t>Greece, C</w:t>
      </w:r>
      <w:r w:rsidR="001A492E" w:rsidRPr="006E04D7">
        <w:rPr>
          <w:rFonts w:ascii="Times New Roman" w:hAnsi="Times New Roman" w:cs="Times New Roman"/>
          <w:sz w:val="24"/>
          <w:szCs w:val="24"/>
        </w:rPr>
        <w:t>roatia, Cyprus, Malta, Portugal</w:t>
      </w:r>
      <w:r w:rsidR="00956422" w:rsidRPr="006E04D7">
        <w:rPr>
          <w:rFonts w:ascii="Times New Roman" w:hAnsi="Times New Roman" w:cs="Times New Roman"/>
          <w:sz w:val="24"/>
          <w:szCs w:val="24"/>
        </w:rPr>
        <w:t>, Serbia&amp; Montenegro),</w:t>
      </w:r>
      <w:r w:rsidRPr="006E04D7">
        <w:rPr>
          <w:rFonts w:ascii="Times New Roman" w:hAnsi="Times New Roman" w:cs="Times New Roman"/>
          <w:sz w:val="24"/>
          <w:szCs w:val="24"/>
        </w:rPr>
        <w:t xml:space="preserve"> Egypt, Albania</w:t>
      </w:r>
      <w:r w:rsidR="00956422" w:rsidRPr="006E04D7">
        <w:rPr>
          <w:rFonts w:ascii="Times New Roman" w:hAnsi="Times New Roman" w:cs="Times New Roman"/>
          <w:sz w:val="24"/>
          <w:szCs w:val="24"/>
        </w:rPr>
        <w:t>,</w:t>
      </w:r>
      <w:r w:rsidRPr="006E04D7">
        <w:rPr>
          <w:rFonts w:ascii="Times New Roman" w:hAnsi="Times New Roman" w:cs="Times New Roman"/>
          <w:sz w:val="24"/>
          <w:szCs w:val="24"/>
        </w:rPr>
        <w:t xml:space="preserve"> </w:t>
      </w:r>
      <w:proofErr w:type="spellStart"/>
      <w:r w:rsidRPr="006E04D7">
        <w:rPr>
          <w:rFonts w:ascii="Times New Roman" w:hAnsi="Times New Roman" w:cs="Times New Roman"/>
          <w:sz w:val="24"/>
          <w:szCs w:val="24"/>
        </w:rPr>
        <w:t>Morraco</w:t>
      </w:r>
      <w:proofErr w:type="spellEnd"/>
      <w:r w:rsidRPr="006E04D7">
        <w:rPr>
          <w:rFonts w:ascii="Times New Roman" w:hAnsi="Times New Roman" w:cs="Times New Roman"/>
          <w:sz w:val="24"/>
          <w:szCs w:val="24"/>
        </w:rPr>
        <w:t xml:space="preserve">, </w:t>
      </w:r>
      <w:proofErr w:type="spellStart"/>
      <w:r w:rsidRPr="006E04D7">
        <w:rPr>
          <w:rFonts w:ascii="Times New Roman" w:hAnsi="Times New Roman" w:cs="Times New Roman"/>
          <w:sz w:val="24"/>
          <w:szCs w:val="24"/>
        </w:rPr>
        <w:t>Tunisie</w:t>
      </w:r>
      <w:proofErr w:type="spellEnd"/>
      <w:r w:rsidRPr="006E04D7">
        <w:rPr>
          <w:rFonts w:ascii="Times New Roman" w:hAnsi="Times New Roman" w:cs="Times New Roman"/>
          <w:sz w:val="24"/>
          <w:szCs w:val="24"/>
        </w:rPr>
        <w:t>, Turkey, China PR, China Taipei, Japan, Korean Republic, Israel, Libya</w:t>
      </w:r>
      <w:r w:rsidR="00956422" w:rsidRPr="006E04D7">
        <w:rPr>
          <w:rFonts w:ascii="Times New Roman" w:hAnsi="Times New Roman" w:cs="Times New Roman"/>
          <w:sz w:val="24"/>
          <w:szCs w:val="24"/>
        </w:rPr>
        <w:t>, Panama, Algeria, Syria</w:t>
      </w:r>
      <w:r w:rsidR="005667B1" w:rsidRPr="006E04D7">
        <w:rPr>
          <w:rFonts w:ascii="Times New Roman" w:hAnsi="Times New Roman" w:cs="Times New Roman"/>
          <w:sz w:val="24"/>
          <w:szCs w:val="24"/>
        </w:rPr>
        <w:t xml:space="preserve">. Furthermore, the two entities of </w:t>
      </w:r>
      <w:r w:rsidRPr="006E04D7">
        <w:rPr>
          <w:rFonts w:ascii="Times New Roman" w:hAnsi="Times New Roman" w:cs="Times New Roman"/>
          <w:sz w:val="24"/>
          <w:szCs w:val="24"/>
        </w:rPr>
        <w:t>Not elsewhere Included</w:t>
      </w:r>
      <w:r w:rsidR="003A6C7B" w:rsidRPr="006E04D7">
        <w:rPr>
          <w:rFonts w:ascii="Times New Roman" w:hAnsi="Times New Roman" w:cs="Times New Roman"/>
          <w:sz w:val="24"/>
          <w:szCs w:val="24"/>
        </w:rPr>
        <w:t xml:space="preserve"> (NEI)</w:t>
      </w:r>
      <w:r w:rsidRPr="006E04D7">
        <w:rPr>
          <w:rFonts w:ascii="Times New Roman" w:hAnsi="Times New Roman" w:cs="Times New Roman"/>
          <w:sz w:val="24"/>
          <w:szCs w:val="24"/>
        </w:rPr>
        <w:t>,</w:t>
      </w:r>
      <w:r w:rsidR="005667B1" w:rsidRPr="006E04D7">
        <w:rPr>
          <w:rFonts w:ascii="Times New Roman" w:hAnsi="Times New Roman" w:cs="Times New Roman"/>
          <w:sz w:val="24"/>
          <w:szCs w:val="24"/>
        </w:rPr>
        <w:t xml:space="preserve"> which refers to catch statistics that cannot be linked directly to a state or fishing entity, and ICCAT have also been counted as countries in this analysis</w:t>
      </w:r>
      <w:r w:rsidR="00FC6A61" w:rsidRPr="006E04D7">
        <w:rPr>
          <w:rFonts w:ascii="Times New Roman" w:hAnsi="Times New Roman" w:cs="Times New Roman"/>
          <w:sz w:val="24"/>
          <w:szCs w:val="24"/>
        </w:rPr>
        <w:t>.</w:t>
      </w:r>
    </w:p>
    <w:p w14:paraId="7FE648F9" w14:textId="77777777" w:rsidR="00EA7C7D" w:rsidRPr="006E04D7" w:rsidRDefault="008C2AB0"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 xml:space="preserve">Figure 1 shows the yearly total catch per gear type in the region, and it can be viewed that the </w:t>
      </w:r>
      <w:r w:rsidR="00E759F4" w:rsidRPr="006E04D7">
        <w:rPr>
          <w:rFonts w:ascii="Times New Roman" w:hAnsi="Times New Roman" w:cs="Times New Roman"/>
          <w:sz w:val="24"/>
          <w:szCs w:val="24"/>
        </w:rPr>
        <w:t>purse s</w:t>
      </w:r>
      <w:r w:rsidRPr="006E04D7">
        <w:rPr>
          <w:rFonts w:ascii="Times New Roman" w:hAnsi="Times New Roman" w:cs="Times New Roman"/>
          <w:sz w:val="24"/>
          <w:szCs w:val="24"/>
        </w:rPr>
        <w:t>eine gear type with 84% of the total catch dominates all the other gear types in terms of the catch volume.</w:t>
      </w:r>
      <w:r w:rsidR="00964FD2" w:rsidRPr="006E04D7">
        <w:rPr>
          <w:rFonts w:ascii="Times New Roman" w:hAnsi="Times New Roman" w:cs="Times New Roman"/>
          <w:sz w:val="24"/>
          <w:szCs w:val="24"/>
        </w:rPr>
        <w:t xml:space="preserve"> </w:t>
      </w:r>
      <w:r w:rsidR="00174BF0" w:rsidRPr="006E04D7">
        <w:rPr>
          <w:rFonts w:ascii="Times New Roman" w:hAnsi="Times New Roman" w:cs="Times New Roman"/>
          <w:sz w:val="24"/>
          <w:szCs w:val="24"/>
        </w:rPr>
        <w:t>Purse Seine is commonly used for pelagic fish in coastal waters where the bottom and surface serve as natural dams to prevent fish from leaving the area enclosed by the net. Seines could</w:t>
      </w:r>
      <w:r w:rsidR="00964FD2" w:rsidRPr="006E04D7">
        <w:rPr>
          <w:rFonts w:ascii="Times New Roman" w:hAnsi="Times New Roman" w:cs="Times New Roman"/>
          <w:sz w:val="24"/>
          <w:szCs w:val="24"/>
        </w:rPr>
        <w:t xml:space="preserve"> make short sea trips(&lt;24hrs) </w:t>
      </w:r>
      <w:r w:rsidR="00174BF0" w:rsidRPr="006E04D7">
        <w:rPr>
          <w:rFonts w:ascii="Times New Roman" w:hAnsi="Times New Roman" w:cs="Times New Roman"/>
          <w:sz w:val="24"/>
          <w:szCs w:val="24"/>
        </w:rPr>
        <w:t>and</w:t>
      </w:r>
      <w:r w:rsidR="00964FD2" w:rsidRPr="006E04D7">
        <w:rPr>
          <w:rFonts w:ascii="Times New Roman" w:hAnsi="Times New Roman" w:cs="Times New Roman"/>
          <w:sz w:val="24"/>
          <w:szCs w:val="24"/>
        </w:rPr>
        <w:t xml:space="preserve"> </w:t>
      </w:r>
      <w:r w:rsidR="00174BF0" w:rsidRPr="006E04D7">
        <w:rPr>
          <w:rFonts w:ascii="Times New Roman" w:hAnsi="Times New Roman" w:cs="Times New Roman"/>
          <w:sz w:val="24"/>
          <w:szCs w:val="24"/>
        </w:rPr>
        <w:t xml:space="preserve">are </w:t>
      </w:r>
      <w:r w:rsidR="00964FD2" w:rsidRPr="006E04D7">
        <w:rPr>
          <w:rFonts w:ascii="Times New Roman" w:hAnsi="Times New Roman" w:cs="Times New Roman"/>
          <w:sz w:val="24"/>
          <w:szCs w:val="24"/>
        </w:rPr>
        <w:t>able to catch a high v</w:t>
      </w:r>
      <w:r w:rsidR="00174BF0" w:rsidRPr="006E04D7">
        <w:rPr>
          <w:rFonts w:ascii="Times New Roman" w:hAnsi="Times New Roman" w:cs="Times New Roman"/>
          <w:sz w:val="24"/>
          <w:szCs w:val="24"/>
        </w:rPr>
        <w:t>o</w:t>
      </w:r>
      <w:r w:rsidR="00964FD2" w:rsidRPr="006E04D7">
        <w:rPr>
          <w:rFonts w:ascii="Times New Roman" w:hAnsi="Times New Roman" w:cs="Times New Roman"/>
          <w:sz w:val="24"/>
          <w:szCs w:val="24"/>
        </w:rPr>
        <w:t>lume in each trip</w:t>
      </w:r>
      <w:r w:rsidR="00174BF0" w:rsidRPr="006E04D7">
        <w:rPr>
          <w:rFonts w:ascii="Times New Roman" w:hAnsi="Times New Roman" w:cs="Times New Roman"/>
          <w:sz w:val="24"/>
          <w:szCs w:val="24"/>
        </w:rPr>
        <w:t xml:space="preserve"> </w:t>
      </w:r>
      <w:r w:rsidR="00174BF0" w:rsidRPr="006E04D7">
        <w:rPr>
          <w:rFonts w:ascii="Times New Roman" w:hAnsi="Times New Roman" w:cs="Times New Roman"/>
          <w:sz w:val="24"/>
          <w:szCs w:val="24"/>
        </w:rPr>
        <w:fldChar w:fldCharType="begin"/>
      </w:r>
      <w:r w:rsidR="00D6484C" w:rsidRPr="006E04D7">
        <w:rPr>
          <w:rFonts w:ascii="Times New Roman" w:hAnsi="Times New Roman" w:cs="Times New Roman"/>
          <w:sz w:val="24"/>
          <w:szCs w:val="24"/>
        </w:rPr>
        <w:instrText xml:space="preserve"> ADDIN EN.CITE &lt;EndNote&gt;&lt;Cite&gt;&lt;Author&gt;Darasi&lt;/Author&gt;&lt;Year&gt;2019&lt;/Year&gt;&lt;RecNum&gt;293&lt;/RecNum&gt;&lt;DisplayText&gt;[18]&lt;/DisplayText&gt;&lt;record&gt;&lt;rec-number&gt;293&lt;/rec-number&gt;&lt;foreign-keys&gt;&lt;key app="EN" db-id="wffdwdt97adpw0eeedr5t2wbdwf5etardpas"&gt;293&lt;/key&gt;&lt;/foreign-keys&gt;&lt;ref-type name="Journal Article"&gt;17&lt;/ref-type&gt;&lt;contributors&gt;&lt;authors&gt;&lt;author&gt;Darasi, F. &lt;/author&gt;&lt;author&gt;Aksissou, M. &lt;/author&gt;&lt;/authors&gt;&lt;/contributors&gt;&lt;titles&gt;&lt;title&gt;Longline, trawl, and purse seine in coastal fishing of Tangier port in North-West of Morocco&lt;/title&gt;&lt;secondary-title&gt;The Egyptian Journal of Aquatic Research&lt;/secondary-title&gt;&lt;/titles&gt;&lt;periodical&gt;&lt;full-title&gt;The Egyptian Journal of Aquatic Research&lt;/full-title&gt;&lt;/periodical&gt;&lt;pages&gt;381-388&lt;/pages&gt;&lt;volume&gt;45&lt;/volume&gt;&lt;number&gt;4&lt;/number&gt;&lt;dates&gt;&lt;year&gt;2019&lt;/year&gt;&lt;/dates&gt;&lt;urls&gt;&lt;/urls&gt;&lt;/record&gt;&lt;/Cite&gt;&lt;/EndNote&gt;</w:instrText>
      </w:r>
      <w:r w:rsidR="00174BF0" w:rsidRPr="006E04D7">
        <w:rPr>
          <w:rFonts w:ascii="Times New Roman" w:hAnsi="Times New Roman" w:cs="Times New Roman"/>
          <w:sz w:val="24"/>
          <w:szCs w:val="24"/>
        </w:rPr>
        <w:fldChar w:fldCharType="separate"/>
      </w:r>
      <w:r w:rsidR="00D6484C" w:rsidRPr="006E04D7">
        <w:rPr>
          <w:rFonts w:ascii="Times New Roman" w:hAnsi="Times New Roman" w:cs="Times New Roman"/>
          <w:noProof/>
          <w:sz w:val="24"/>
          <w:szCs w:val="24"/>
        </w:rPr>
        <w:t>[</w:t>
      </w:r>
      <w:hyperlink w:anchor="_ENREF_18" w:tooltip="Darasi, 2019 #293" w:history="1">
        <w:r w:rsidR="00CB2334" w:rsidRPr="006E04D7">
          <w:rPr>
            <w:rFonts w:ascii="Times New Roman" w:hAnsi="Times New Roman" w:cs="Times New Roman"/>
            <w:noProof/>
            <w:sz w:val="24"/>
            <w:szCs w:val="24"/>
          </w:rPr>
          <w:t>18</w:t>
        </w:r>
      </w:hyperlink>
      <w:r w:rsidR="00D6484C" w:rsidRPr="006E04D7">
        <w:rPr>
          <w:rFonts w:ascii="Times New Roman" w:hAnsi="Times New Roman" w:cs="Times New Roman"/>
          <w:noProof/>
          <w:sz w:val="24"/>
          <w:szCs w:val="24"/>
        </w:rPr>
        <w:t>]</w:t>
      </w:r>
      <w:r w:rsidR="00174BF0" w:rsidRPr="006E04D7">
        <w:rPr>
          <w:rFonts w:ascii="Times New Roman" w:hAnsi="Times New Roman" w:cs="Times New Roman"/>
          <w:sz w:val="24"/>
          <w:szCs w:val="24"/>
        </w:rPr>
        <w:fldChar w:fldCharType="end"/>
      </w:r>
      <w:r w:rsidR="00174BF0" w:rsidRPr="006E04D7">
        <w:rPr>
          <w:rFonts w:ascii="Times New Roman" w:hAnsi="Times New Roman" w:cs="Times New Roman"/>
          <w:sz w:val="24"/>
          <w:szCs w:val="24"/>
        </w:rPr>
        <w:t xml:space="preserve"> </w:t>
      </w:r>
      <w:r w:rsidR="00174BF0" w:rsidRPr="006E04D7">
        <w:rPr>
          <w:rFonts w:ascii="Times New Roman" w:hAnsi="Times New Roman" w:cs="Times New Roman"/>
          <w:sz w:val="24"/>
          <w:szCs w:val="24"/>
        </w:rPr>
        <w:fldChar w:fldCharType="begin"/>
      </w:r>
      <w:r w:rsidR="00D6484C" w:rsidRPr="006E04D7">
        <w:rPr>
          <w:rFonts w:ascii="Times New Roman" w:hAnsi="Times New Roman" w:cs="Times New Roman"/>
          <w:sz w:val="24"/>
          <w:szCs w:val="24"/>
        </w:rPr>
        <w:instrText xml:space="preserve"> ADDIN EN.CITE &lt;EndNote&gt;&lt;Cite&gt;&lt;Author&gt;Rouyer&lt;/Author&gt;&lt;Year&gt;2020&lt;/Year&gt;&lt;RecNum&gt;294&lt;/RecNum&gt;&lt;DisplayText&gt;[19]&lt;/DisplayText&gt;&lt;record&gt;&lt;rec-number&gt;294&lt;/rec-number&gt;&lt;foreign-keys&gt;&lt;key app="EN" db-id="wffdwdt97adpw0eeedr5t2wbdwf5etardpas"&gt;294&lt;/key&gt;&lt;/foreign-keys&gt;&lt;ref-type name="Journal Article"&gt;17&lt;/ref-type&gt;&lt;contributors&gt;&lt;authors&gt;&lt;author&gt;Rouyer, T. &lt;/author&gt;&lt;author&gt;Bonhommeau, S. &lt;/author&gt;&lt;author&gt;Giordano, N.&lt;/author&gt;&lt;author&gt;Giordano, F. &lt;/author&gt;&lt;author&gt;Ellul, S.&lt;/author&gt;&lt;author&gt;Ellul, G. &lt;/author&gt;&lt;author&gt;Deguara, S.&lt;/author&gt;&lt;author&gt;Wendling, B. &lt;/author&gt;&lt;author&gt;Bernard, S. &lt;/author&gt;&lt;author&gt;Kerzerho, V.&lt;/author&gt;&lt;/authors&gt;&lt;/contributors&gt;&lt;titles&gt;&lt;title&gt;Tagging Atlantic bluefin tuna from a Mediterranean spawning ground using a purse seiner&lt;/title&gt;&lt;secondary-title&gt;Fisheries Research&lt;/secondary-title&gt;&lt;/titles&gt;&lt;periodical&gt;&lt;full-title&gt;Fisheries Research&lt;/full-title&gt;&lt;/periodical&gt;&lt;volume&gt;226&lt;/volume&gt;&lt;dates&gt;&lt;year&gt;2020&lt;/year&gt;&lt;/dates&gt;&lt;urls&gt;&lt;/urls&gt;&lt;/record&gt;&lt;/Cite&gt;&lt;/EndNote&gt;</w:instrText>
      </w:r>
      <w:r w:rsidR="00174BF0" w:rsidRPr="006E04D7">
        <w:rPr>
          <w:rFonts w:ascii="Times New Roman" w:hAnsi="Times New Roman" w:cs="Times New Roman"/>
          <w:sz w:val="24"/>
          <w:szCs w:val="24"/>
        </w:rPr>
        <w:fldChar w:fldCharType="separate"/>
      </w:r>
      <w:r w:rsidR="00D6484C" w:rsidRPr="006E04D7">
        <w:rPr>
          <w:rFonts w:ascii="Times New Roman" w:hAnsi="Times New Roman" w:cs="Times New Roman"/>
          <w:noProof/>
          <w:sz w:val="24"/>
          <w:szCs w:val="24"/>
        </w:rPr>
        <w:t>[</w:t>
      </w:r>
      <w:hyperlink w:anchor="_ENREF_19" w:tooltip="Rouyer, 2020 #294" w:history="1">
        <w:r w:rsidR="00CB2334" w:rsidRPr="006E04D7">
          <w:rPr>
            <w:rFonts w:ascii="Times New Roman" w:hAnsi="Times New Roman" w:cs="Times New Roman"/>
            <w:noProof/>
            <w:sz w:val="24"/>
            <w:szCs w:val="24"/>
          </w:rPr>
          <w:t>19</w:t>
        </w:r>
      </w:hyperlink>
      <w:r w:rsidR="00D6484C" w:rsidRPr="006E04D7">
        <w:rPr>
          <w:rFonts w:ascii="Times New Roman" w:hAnsi="Times New Roman" w:cs="Times New Roman"/>
          <w:noProof/>
          <w:sz w:val="24"/>
          <w:szCs w:val="24"/>
        </w:rPr>
        <w:t>]</w:t>
      </w:r>
      <w:r w:rsidR="00174BF0" w:rsidRPr="006E04D7">
        <w:rPr>
          <w:rFonts w:ascii="Times New Roman" w:hAnsi="Times New Roman" w:cs="Times New Roman"/>
          <w:sz w:val="24"/>
          <w:szCs w:val="24"/>
        </w:rPr>
        <w:fldChar w:fldCharType="end"/>
      </w:r>
      <w:r w:rsidR="00964FD2" w:rsidRPr="006E04D7">
        <w:rPr>
          <w:rFonts w:ascii="Times New Roman" w:hAnsi="Times New Roman" w:cs="Times New Roman"/>
          <w:sz w:val="24"/>
          <w:szCs w:val="24"/>
        </w:rPr>
        <w:t>.</w:t>
      </w:r>
      <w:r w:rsidR="00174BF0" w:rsidRPr="006E04D7">
        <w:rPr>
          <w:rFonts w:ascii="Times New Roman" w:hAnsi="Times New Roman" w:cs="Times New Roman"/>
          <w:sz w:val="24"/>
          <w:szCs w:val="24"/>
        </w:rPr>
        <w:t xml:space="preserve"> </w:t>
      </w:r>
      <w:r w:rsidRPr="006E04D7">
        <w:rPr>
          <w:rFonts w:ascii="Times New Roman" w:hAnsi="Times New Roman" w:cs="Times New Roman"/>
          <w:sz w:val="24"/>
          <w:szCs w:val="24"/>
        </w:rPr>
        <w:t xml:space="preserve"> </w:t>
      </w:r>
      <w:r w:rsidR="00FC6A61" w:rsidRPr="006E04D7">
        <w:rPr>
          <w:rFonts w:ascii="Times New Roman" w:hAnsi="Times New Roman" w:cs="Times New Roman"/>
          <w:sz w:val="24"/>
          <w:szCs w:val="24"/>
        </w:rPr>
        <w:t>The Mediterranean fishing fleet have grown exponentially partly due to the EU subsidies driving mechanisation via purse seine capture techniques and ranching.</w:t>
      </w:r>
      <w:r w:rsidR="00D42D1B" w:rsidRPr="006E04D7">
        <w:rPr>
          <w:rFonts w:ascii="Times New Roman" w:hAnsi="Times New Roman" w:cs="Times New Roman"/>
          <w:sz w:val="24"/>
          <w:szCs w:val="24"/>
        </w:rPr>
        <w:t xml:space="preserve"> One of the </w:t>
      </w:r>
      <w:r w:rsidR="00D42D1B" w:rsidRPr="006E04D7">
        <w:rPr>
          <w:rFonts w:ascii="Times New Roman" w:hAnsi="Times New Roman" w:cs="Times New Roman"/>
          <w:sz w:val="24"/>
          <w:szCs w:val="24"/>
        </w:rPr>
        <w:lastRenderedPageBreak/>
        <w:t>problems caused by this, is</w:t>
      </w:r>
      <w:r w:rsidR="00FC6A61" w:rsidRPr="006E04D7">
        <w:rPr>
          <w:rFonts w:ascii="Times New Roman" w:hAnsi="Times New Roman" w:cs="Times New Roman"/>
          <w:sz w:val="24"/>
          <w:szCs w:val="24"/>
        </w:rPr>
        <w:t xml:space="preserve"> </w:t>
      </w:r>
      <w:r w:rsidR="00D42D1B" w:rsidRPr="006E04D7">
        <w:rPr>
          <w:rFonts w:ascii="Times New Roman" w:hAnsi="Times New Roman" w:cs="Times New Roman"/>
          <w:sz w:val="24"/>
          <w:szCs w:val="24"/>
        </w:rPr>
        <w:t>the overcap</w:t>
      </w:r>
      <w:r w:rsidR="004D2FD2" w:rsidRPr="006E04D7">
        <w:rPr>
          <w:rFonts w:ascii="Times New Roman" w:hAnsi="Times New Roman" w:cs="Times New Roman"/>
          <w:sz w:val="24"/>
          <w:szCs w:val="24"/>
        </w:rPr>
        <w:t>a</w:t>
      </w:r>
      <w:r w:rsidR="00D42D1B" w:rsidRPr="006E04D7">
        <w:rPr>
          <w:rFonts w:ascii="Times New Roman" w:hAnsi="Times New Roman" w:cs="Times New Roman"/>
          <w:sz w:val="24"/>
          <w:szCs w:val="24"/>
        </w:rPr>
        <w:t xml:space="preserve">city of the </w:t>
      </w:r>
      <w:r w:rsidR="00E759F4" w:rsidRPr="006E04D7">
        <w:rPr>
          <w:rFonts w:ascii="Times New Roman" w:hAnsi="Times New Roman" w:cs="Times New Roman"/>
          <w:sz w:val="24"/>
          <w:szCs w:val="24"/>
        </w:rPr>
        <w:t>t</w:t>
      </w:r>
      <w:r w:rsidR="00D42D1B" w:rsidRPr="006E04D7">
        <w:rPr>
          <w:rFonts w:ascii="Times New Roman" w:hAnsi="Times New Roman" w:cs="Times New Roman"/>
          <w:sz w:val="24"/>
          <w:szCs w:val="24"/>
        </w:rPr>
        <w:t xml:space="preserve">una fleets which is a contributing factor to over-exploitation. A higher volume of catch is needed for the tuna fleets to stay economically viable and the allocated </w:t>
      </w:r>
      <w:r w:rsidR="00FC6A61" w:rsidRPr="006E04D7">
        <w:rPr>
          <w:rFonts w:ascii="Times New Roman" w:hAnsi="Times New Roman" w:cs="Times New Roman"/>
          <w:sz w:val="24"/>
          <w:szCs w:val="24"/>
        </w:rPr>
        <w:t xml:space="preserve"> quotas</w:t>
      </w:r>
      <w:r w:rsidR="00D42D1B" w:rsidRPr="006E04D7">
        <w:rPr>
          <w:rFonts w:ascii="Times New Roman" w:hAnsi="Times New Roman" w:cs="Times New Roman"/>
          <w:sz w:val="24"/>
          <w:szCs w:val="24"/>
        </w:rPr>
        <w:t xml:space="preserve"> to the CPS</w:t>
      </w:r>
      <w:r w:rsidR="00FC6A61" w:rsidRPr="006E04D7">
        <w:rPr>
          <w:rFonts w:ascii="Times New Roman" w:hAnsi="Times New Roman" w:cs="Times New Roman"/>
          <w:sz w:val="24"/>
          <w:szCs w:val="24"/>
        </w:rPr>
        <w:t xml:space="preserve"> are less than the  level required to sustain a profitable fleet, leading to speculation o</w:t>
      </w:r>
      <w:r w:rsidRPr="006E04D7">
        <w:rPr>
          <w:rFonts w:ascii="Times New Roman" w:hAnsi="Times New Roman" w:cs="Times New Roman"/>
          <w:sz w:val="24"/>
          <w:szCs w:val="24"/>
        </w:rPr>
        <w:t>f</w:t>
      </w:r>
      <w:r w:rsidR="00FC6A61" w:rsidRPr="006E04D7">
        <w:rPr>
          <w:rFonts w:ascii="Times New Roman" w:hAnsi="Times New Roman" w:cs="Times New Roman"/>
          <w:sz w:val="24"/>
          <w:szCs w:val="24"/>
        </w:rPr>
        <w:t xml:space="preserve"> unregulated fishing activities in some of CPCs </w:t>
      </w:r>
      <w:r w:rsidR="00FC6A61" w:rsidRPr="006E04D7">
        <w:rPr>
          <w:rFonts w:ascii="Times New Roman" w:hAnsi="Times New Roman" w:cs="Times New Roman"/>
          <w:sz w:val="24"/>
          <w:szCs w:val="24"/>
        </w:rPr>
        <w:fldChar w:fldCharType="begin"/>
      </w:r>
      <w:r w:rsidR="00204779" w:rsidRPr="006E04D7">
        <w:rPr>
          <w:rFonts w:ascii="Times New Roman" w:hAnsi="Times New Roman" w:cs="Times New Roman"/>
          <w:sz w:val="24"/>
          <w:szCs w:val="24"/>
        </w:rPr>
        <w:instrText xml:space="preserve"> ADDIN EN.CITE &lt;EndNote&gt;&lt;Cite&gt;&lt;Author&gt;Heffernan&lt;/Author&gt;&lt;Year&gt;2014&lt;/Year&gt;&lt;RecNum&gt;288&lt;/RecNum&gt;&lt;DisplayText&gt;[14]&lt;/DisplayText&gt;&lt;record&gt;&lt;rec-number&gt;288&lt;/rec-number&gt;&lt;foreign-keys&gt;&lt;key app="EN" db-id="wffdwdt97adpw0eeedr5t2wbdwf5etardpas"&gt;288&lt;/key&gt;&lt;/foreign-keys&gt;&lt;ref-type name="Journal Article"&gt;17&lt;/ref-type&gt;&lt;contributors&gt;&lt;authors&gt;&lt;author&gt;Heffernan, J. P. &lt;/author&gt;&lt;/authors&gt;&lt;/contributors&gt;&lt;titles&gt;&lt;title&gt;Dealing with Mediterranean bluefin tuna: A study in international environmental management&lt;/title&gt;&lt;secondary-title&gt;Marine Policy&lt;/secondary-title&gt;&lt;/titles&gt;&lt;periodical&gt;&lt;full-title&gt;Marine Policy&lt;/full-title&gt;&lt;/periodical&gt;&lt;pages&gt;81-88&lt;/pages&gt;&lt;volume&gt;50&lt;/volume&gt;&lt;dates&gt;&lt;year&gt;2014&lt;/year&gt;&lt;/dates&gt;&lt;urls&gt;&lt;/urls&gt;&lt;/record&gt;&lt;/Cite&gt;&lt;/EndNote&gt;</w:instrText>
      </w:r>
      <w:r w:rsidR="00FC6A61" w:rsidRPr="006E04D7">
        <w:rPr>
          <w:rFonts w:ascii="Times New Roman" w:hAnsi="Times New Roman" w:cs="Times New Roman"/>
          <w:sz w:val="24"/>
          <w:szCs w:val="24"/>
        </w:rPr>
        <w:fldChar w:fldCharType="separate"/>
      </w:r>
      <w:r w:rsidR="00204779" w:rsidRPr="006E04D7">
        <w:rPr>
          <w:rFonts w:ascii="Times New Roman" w:hAnsi="Times New Roman" w:cs="Times New Roman"/>
          <w:noProof/>
          <w:sz w:val="24"/>
          <w:szCs w:val="24"/>
        </w:rPr>
        <w:t>[</w:t>
      </w:r>
      <w:hyperlink w:anchor="_ENREF_14" w:tooltip="Heffernan, 2014 #288" w:history="1">
        <w:r w:rsidR="00CB2334" w:rsidRPr="006E04D7">
          <w:rPr>
            <w:rFonts w:ascii="Times New Roman" w:hAnsi="Times New Roman" w:cs="Times New Roman"/>
            <w:noProof/>
            <w:sz w:val="24"/>
            <w:szCs w:val="24"/>
          </w:rPr>
          <w:t>14</w:t>
        </w:r>
      </w:hyperlink>
      <w:r w:rsidR="00204779" w:rsidRPr="006E04D7">
        <w:rPr>
          <w:rFonts w:ascii="Times New Roman" w:hAnsi="Times New Roman" w:cs="Times New Roman"/>
          <w:noProof/>
          <w:sz w:val="24"/>
          <w:szCs w:val="24"/>
        </w:rPr>
        <w:t>]</w:t>
      </w:r>
      <w:r w:rsidR="00FC6A61" w:rsidRPr="006E04D7">
        <w:rPr>
          <w:rFonts w:ascii="Times New Roman" w:hAnsi="Times New Roman" w:cs="Times New Roman"/>
          <w:sz w:val="24"/>
          <w:szCs w:val="24"/>
        </w:rPr>
        <w:fldChar w:fldCharType="end"/>
      </w:r>
      <w:r w:rsidR="00FC6A61" w:rsidRPr="006E04D7">
        <w:rPr>
          <w:rFonts w:ascii="Times New Roman" w:hAnsi="Times New Roman" w:cs="Times New Roman"/>
          <w:sz w:val="24"/>
          <w:szCs w:val="24"/>
        </w:rPr>
        <w:t xml:space="preserve">. </w:t>
      </w:r>
    </w:p>
    <w:p w14:paraId="408A6E05" w14:textId="77777777" w:rsidR="001A492E" w:rsidRPr="006E04D7" w:rsidRDefault="003D4551" w:rsidP="00092CEA">
      <w:pPr>
        <w:keepNext/>
        <w:spacing w:line="360" w:lineRule="auto"/>
        <w:jc w:val="both"/>
        <w:rPr>
          <w:rFonts w:ascii="Times New Roman" w:hAnsi="Times New Roman" w:cs="Times New Roman"/>
        </w:rPr>
      </w:pPr>
      <w:r w:rsidRPr="006E04D7">
        <w:rPr>
          <w:rFonts w:ascii="Times New Roman" w:hAnsi="Times New Roman" w:cs="Times New Roman"/>
          <w:noProof/>
          <w:sz w:val="24"/>
          <w:szCs w:val="24"/>
          <w:lang w:eastAsia="en-GB"/>
        </w:rPr>
        <w:drawing>
          <wp:inline distT="0" distB="0" distL="0" distR="0" wp14:anchorId="3ADC7844" wp14:editId="36FEA072">
            <wp:extent cx="5731510" cy="3808095"/>
            <wp:effectExtent l="0" t="0" r="254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AB8F82" w14:textId="77777777" w:rsidR="00EA7C7D" w:rsidRPr="006E04D7" w:rsidRDefault="001A492E" w:rsidP="00092CEA">
      <w:pPr>
        <w:pStyle w:val="Caption"/>
        <w:spacing w:line="360" w:lineRule="auto"/>
        <w:jc w:val="both"/>
        <w:rPr>
          <w:rFonts w:ascii="Times New Roman" w:hAnsi="Times New Roman" w:cs="Times New Roman"/>
          <w:sz w:val="24"/>
          <w:szCs w:val="24"/>
        </w:rPr>
      </w:pPr>
      <w:r w:rsidRPr="006E04D7">
        <w:rPr>
          <w:rFonts w:ascii="Times New Roman" w:hAnsi="Times New Roman" w:cs="Times New Roman"/>
        </w:rPr>
        <w:t xml:space="preserve">Figure </w:t>
      </w:r>
      <w:r w:rsidR="0009676B" w:rsidRPr="006E04D7">
        <w:rPr>
          <w:rFonts w:ascii="Times New Roman" w:hAnsi="Times New Roman" w:cs="Times New Roman"/>
        </w:rPr>
        <w:fldChar w:fldCharType="begin"/>
      </w:r>
      <w:r w:rsidR="0009676B" w:rsidRPr="006E04D7">
        <w:rPr>
          <w:rFonts w:ascii="Times New Roman" w:hAnsi="Times New Roman" w:cs="Times New Roman"/>
        </w:rPr>
        <w:instrText xml:space="preserve"> SEQ Figure \* ARABIC </w:instrText>
      </w:r>
      <w:r w:rsidR="0009676B" w:rsidRPr="006E04D7">
        <w:rPr>
          <w:rFonts w:ascii="Times New Roman" w:hAnsi="Times New Roman" w:cs="Times New Roman"/>
        </w:rPr>
        <w:fldChar w:fldCharType="separate"/>
      </w:r>
      <w:r w:rsidR="00563C86">
        <w:rPr>
          <w:rFonts w:ascii="Times New Roman" w:hAnsi="Times New Roman" w:cs="Times New Roman"/>
          <w:noProof/>
        </w:rPr>
        <w:t>1</w:t>
      </w:r>
      <w:r w:rsidR="0009676B" w:rsidRPr="006E04D7">
        <w:rPr>
          <w:rFonts w:ascii="Times New Roman" w:hAnsi="Times New Roman" w:cs="Times New Roman"/>
          <w:noProof/>
        </w:rPr>
        <w:fldChar w:fldCharType="end"/>
      </w:r>
      <w:r w:rsidRPr="006E04D7">
        <w:rPr>
          <w:rFonts w:ascii="Times New Roman" w:hAnsi="Times New Roman" w:cs="Times New Roman"/>
        </w:rPr>
        <w:t xml:space="preserve">: Catch per </w:t>
      </w:r>
      <w:proofErr w:type="spellStart"/>
      <w:r w:rsidRPr="006E04D7">
        <w:rPr>
          <w:rFonts w:ascii="Times New Roman" w:hAnsi="Times New Roman" w:cs="Times New Roman"/>
        </w:rPr>
        <w:t>geartype</w:t>
      </w:r>
      <w:proofErr w:type="spellEnd"/>
      <w:r w:rsidRPr="006E04D7">
        <w:rPr>
          <w:rFonts w:ascii="Times New Roman" w:hAnsi="Times New Roman" w:cs="Times New Roman"/>
        </w:rPr>
        <w:t>-Mediterranean</w:t>
      </w:r>
    </w:p>
    <w:p w14:paraId="65AD31F6" w14:textId="77777777" w:rsidR="003C173B" w:rsidRPr="006E04D7" w:rsidRDefault="003C173B"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Figure</w:t>
      </w:r>
      <w:r w:rsidR="005D2934" w:rsidRPr="006E04D7">
        <w:rPr>
          <w:rFonts w:ascii="Times New Roman" w:hAnsi="Times New Roman" w:cs="Times New Roman"/>
          <w:sz w:val="24"/>
          <w:szCs w:val="24"/>
        </w:rPr>
        <w:t xml:space="preserve"> </w:t>
      </w:r>
      <w:proofErr w:type="gramStart"/>
      <w:r w:rsidR="005D2934" w:rsidRPr="006E04D7">
        <w:rPr>
          <w:rFonts w:ascii="Times New Roman" w:hAnsi="Times New Roman" w:cs="Times New Roman"/>
          <w:sz w:val="24"/>
          <w:szCs w:val="24"/>
        </w:rPr>
        <w:t>2</w:t>
      </w:r>
      <w:r w:rsidRPr="006E04D7">
        <w:rPr>
          <w:rFonts w:ascii="Times New Roman" w:hAnsi="Times New Roman" w:cs="Times New Roman"/>
          <w:sz w:val="24"/>
          <w:szCs w:val="24"/>
        </w:rPr>
        <w:t xml:space="preserve">  illustrate</w:t>
      </w:r>
      <w:r w:rsidR="005D2934" w:rsidRPr="006E04D7">
        <w:rPr>
          <w:rFonts w:ascii="Times New Roman" w:hAnsi="Times New Roman" w:cs="Times New Roman"/>
          <w:sz w:val="24"/>
          <w:szCs w:val="24"/>
        </w:rPr>
        <w:t>s</w:t>
      </w:r>
      <w:proofErr w:type="gramEnd"/>
      <w:r w:rsidR="005D2934" w:rsidRPr="006E04D7">
        <w:rPr>
          <w:rFonts w:ascii="Times New Roman" w:hAnsi="Times New Roman" w:cs="Times New Roman"/>
          <w:sz w:val="24"/>
          <w:szCs w:val="24"/>
        </w:rPr>
        <w:t xml:space="preserve"> </w:t>
      </w:r>
      <w:r w:rsidRPr="006E04D7">
        <w:rPr>
          <w:rFonts w:ascii="Times New Roman" w:hAnsi="Times New Roman" w:cs="Times New Roman"/>
          <w:sz w:val="24"/>
          <w:szCs w:val="24"/>
        </w:rPr>
        <w:t xml:space="preserve">that 2007 was the peak year in terms of total catch </w:t>
      </w:r>
      <w:r w:rsidR="003D4551" w:rsidRPr="006E04D7">
        <w:rPr>
          <w:rFonts w:ascii="Times New Roman" w:hAnsi="Times New Roman" w:cs="Times New Roman"/>
          <w:sz w:val="24"/>
          <w:szCs w:val="24"/>
        </w:rPr>
        <w:t xml:space="preserve">with 52558.84 tonnes </w:t>
      </w:r>
      <w:r w:rsidRPr="006E04D7">
        <w:rPr>
          <w:rFonts w:ascii="Times New Roman" w:hAnsi="Times New Roman" w:cs="Times New Roman"/>
          <w:sz w:val="24"/>
          <w:szCs w:val="24"/>
        </w:rPr>
        <w:t>and</w:t>
      </w:r>
      <w:r w:rsidR="00E759F4" w:rsidRPr="006E04D7">
        <w:rPr>
          <w:rFonts w:ascii="Times New Roman" w:hAnsi="Times New Roman" w:cs="Times New Roman"/>
          <w:sz w:val="24"/>
          <w:szCs w:val="24"/>
        </w:rPr>
        <w:t xml:space="preserve"> the lowest amount of catch is </w:t>
      </w:r>
      <w:r w:rsidR="00DC5FA0" w:rsidRPr="006E04D7">
        <w:rPr>
          <w:rFonts w:ascii="Times New Roman" w:hAnsi="Times New Roman" w:cs="Times New Roman"/>
          <w:sz w:val="24"/>
          <w:szCs w:val="24"/>
        </w:rPr>
        <w:t>in</w:t>
      </w:r>
      <w:r w:rsidRPr="006E04D7">
        <w:rPr>
          <w:rFonts w:ascii="Times New Roman" w:hAnsi="Times New Roman" w:cs="Times New Roman"/>
          <w:sz w:val="24"/>
          <w:szCs w:val="24"/>
        </w:rPr>
        <w:t xml:space="preserve"> 2011</w:t>
      </w:r>
      <w:r w:rsidR="00DC5FA0" w:rsidRPr="006E04D7">
        <w:rPr>
          <w:rFonts w:ascii="Times New Roman" w:hAnsi="Times New Roman" w:cs="Times New Roman"/>
          <w:sz w:val="24"/>
          <w:szCs w:val="24"/>
        </w:rPr>
        <w:t xml:space="preserve"> </w:t>
      </w:r>
      <w:r w:rsidR="003D4551" w:rsidRPr="006E04D7">
        <w:rPr>
          <w:rFonts w:ascii="Times New Roman" w:hAnsi="Times New Roman" w:cs="Times New Roman"/>
          <w:sz w:val="24"/>
          <w:szCs w:val="24"/>
        </w:rPr>
        <w:t>of 5789.82 tonnes</w:t>
      </w:r>
      <w:r w:rsidRPr="006E04D7">
        <w:rPr>
          <w:rFonts w:ascii="Times New Roman" w:hAnsi="Times New Roman" w:cs="Times New Roman"/>
          <w:sz w:val="24"/>
          <w:szCs w:val="24"/>
        </w:rPr>
        <w:t>. However</w:t>
      </w:r>
      <w:r w:rsidR="003D4551" w:rsidRPr="006E04D7">
        <w:rPr>
          <w:rFonts w:ascii="Times New Roman" w:hAnsi="Times New Roman" w:cs="Times New Roman"/>
          <w:sz w:val="24"/>
          <w:szCs w:val="24"/>
        </w:rPr>
        <w:t>,</w:t>
      </w:r>
      <w:r w:rsidRPr="006E04D7">
        <w:rPr>
          <w:rFonts w:ascii="Times New Roman" w:hAnsi="Times New Roman" w:cs="Times New Roman"/>
          <w:sz w:val="24"/>
          <w:szCs w:val="24"/>
        </w:rPr>
        <w:t xml:space="preserve"> an uprising trend of catch can be seen </w:t>
      </w:r>
      <w:r w:rsidR="003D4551" w:rsidRPr="006E04D7">
        <w:rPr>
          <w:rFonts w:ascii="Times New Roman" w:hAnsi="Times New Roman" w:cs="Times New Roman"/>
          <w:sz w:val="24"/>
          <w:szCs w:val="24"/>
        </w:rPr>
        <w:t>post 2011</w:t>
      </w:r>
      <w:r w:rsidRPr="006E04D7">
        <w:rPr>
          <w:rFonts w:ascii="Times New Roman" w:hAnsi="Times New Roman" w:cs="Times New Roman"/>
          <w:sz w:val="24"/>
          <w:szCs w:val="24"/>
        </w:rPr>
        <w:t>.</w:t>
      </w:r>
      <w:r w:rsidR="003D4551" w:rsidRPr="006E04D7">
        <w:rPr>
          <w:rFonts w:ascii="Times New Roman" w:hAnsi="Times New Roman" w:cs="Times New Roman"/>
          <w:sz w:val="24"/>
          <w:szCs w:val="24"/>
        </w:rPr>
        <w:t xml:space="preserve"> </w:t>
      </w:r>
    </w:p>
    <w:p w14:paraId="40628C00" w14:textId="77777777" w:rsidR="003C173B" w:rsidRPr="006E04D7" w:rsidRDefault="003C173B" w:rsidP="00092CEA">
      <w:pPr>
        <w:spacing w:line="360" w:lineRule="auto"/>
        <w:jc w:val="both"/>
        <w:rPr>
          <w:rFonts w:ascii="Times New Roman" w:hAnsi="Times New Roman" w:cs="Times New Roman"/>
          <w:sz w:val="24"/>
          <w:szCs w:val="24"/>
        </w:rPr>
      </w:pPr>
    </w:p>
    <w:p w14:paraId="1FA1A97A" w14:textId="77777777" w:rsidR="001A492E" w:rsidRPr="006E04D7" w:rsidRDefault="008561FD" w:rsidP="00092CEA">
      <w:pPr>
        <w:keepNext/>
        <w:spacing w:line="360" w:lineRule="auto"/>
        <w:jc w:val="both"/>
        <w:rPr>
          <w:rFonts w:ascii="Times New Roman" w:hAnsi="Times New Roman" w:cs="Times New Roman"/>
        </w:rPr>
      </w:pPr>
      <w:r w:rsidRPr="006E04D7">
        <w:rPr>
          <w:rFonts w:ascii="Times New Roman" w:hAnsi="Times New Roman" w:cs="Times New Roman"/>
          <w:noProof/>
          <w:sz w:val="24"/>
          <w:szCs w:val="24"/>
          <w:lang w:eastAsia="en-GB"/>
        </w:rPr>
        <w:lastRenderedPageBreak/>
        <w:drawing>
          <wp:inline distT="0" distB="0" distL="0" distR="0" wp14:anchorId="615E03CA" wp14:editId="6EC43612">
            <wp:extent cx="5503545" cy="2808514"/>
            <wp:effectExtent l="0" t="0" r="190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EF801E" w14:textId="77777777" w:rsidR="008561FD" w:rsidRPr="006E04D7" w:rsidRDefault="001A492E" w:rsidP="00092CEA">
      <w:pPr>
        <w:pStyle w:val="Caption"/>
        <w:spacing w:line="360" w:lineRule="auto"/>
        <w:jc w:val="both"/>
        <w:rPr>
          <w:rFonts w:ascii="Times New Roman" w:hAnsi="Times New Roman" w:cs="Times New Roman"/>
          <w:sz w:val="24"/>
          <w:szCs w:val="24"/>
        </w:rPr>
      </w:pPr>
      <w:r w:rsidRPr="006E04D7">
        <w:rPr>
          <w:rFonts w:ascii="Times New Roman" w:hAnsi="Times New Roman" w:cs="Times New Roman"/>
        </w:rPr>
        <w:t xml:space="preserve">Figure </w:t>
      </w:r>
      <w:r w:rsidR="0009676B" w:rsidRPr="006E04D7">
        <w:rPr>
          <w:rFonts w:ascii="Times New Roman" w:hAnsi="Times New Roman" w:cs="Times New Roman"/>
        </w:rPr>
        <w:fldChar w:fldCharType="begin"/>
      </w:r>
      <w:r w:rsidR="0009676B" w:rsidRPr="006E04D7">
        <w:rPr>
          <w:rFonts w:ascii="Times New Roman" w:hAnsi="Times New Roman" w:cs="Times New Roman"/>
        </w:rPr>
        <w:instrText xml:space="preserve"> SEQ Figure \* ARABIC </w:instrText>
      </w:r>
      <w:r w:rsidR="0009676B" w:rsidRPr="006E04D7">
        <w:rPr>
          <w:rFonts w:ascii="Times New Roman" w:hAnsi="Times New Roman" w:cs="Times New Roman"/>
        </w:rPr>
        <w:fldChar w:fldCharType="separate"/>
      </w:r>
      <w:r w:rsidR="00563C86">
        <w:rPr>
          <w:rFonts w:ascii="Times New Roman" w:hAnsi="Times New Roman" w:cs="Times New Roman"/>
          <w:noProof/>
        </w:rPr>
        <w:t>2</w:t>
      </w:r>
      <w:r w:rsidR="0009676B" w:rsidRPr="006E04D7">
        <w:rPr>
          <w:rFonts w:ascii="Times New Roman" w:hAnsi="Times New Roman" w:cs="Times New Roman"/>
          <w:noProof/>
        </w:rPr>
        <w:fldChar w:fldCharType="end"/>
      </w:r>
      <w:r w:rsidRPr="006E04D7">
        <w:rPr>
          <w:rFonts w:ascii="Times New Roman" w:hAnsi="Times New Roman" w:cs="Times New Roman"/>
        </w:rPr>
        <w:t>: Yearly total catch-Mediterranean</w:t>
      </w:r>
    </w:p>
    <w:p w14:paraId="5A12CDB9" w14:textId="77777777" w:rsidR="00EA7C7D" w:rsidRPr="006E04D7" w:rsidRDefault="008C2AB0"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T</w:t>
      </w:r>
      <w:r w:rsidR="004A13CB" w:rsidRPr="006E04D7">
        <w:rPr>
          <w:rFonts w:ascii="Times New Roman" w:hAnsi="Times New Roman" w:cs="Times New Roman"/>
          <w:sz w:val="24"/>
          <w:szCs w:val="24"/>
        </w:rPr>
        <w:t>he total catch per country for the period of 1995-2017</w:t>
      </w:r>
      <w:r w:rsidRPr="006E04D7">
        <w:rPr>
          <w:rFonts w:ascii="Times New Roman" w:hAnsi="Times New Roman" w:cs="Times New Roman"/>
          <w:sz w:val="24"/>
          <w:szCs w:val="24"/>
        </w:rPr>
        <w:t xml:space="preserve"> is shown in Figure 3</w:t>
      </w:r>
      <w:r w:rsidR="004A13CB" w:rsidRPr="006E04D7">
        <w:rPr>
          <w:rFonts w:ascii="Times New Roman" w:hAnsi="Times New Roman" w:cs="Times New Roman"/>
          <w:sz w:val="24"/>
          <w:szCs w:val="24"/>
        </w:rPr>
        <w:t>. The figure show</w:t>
      </w:r>
      <w:r w:rsidR="004D2FD2" w:rsidRPr="006E04D7">
        <w:rPr>
          <w:rFonts w:ascii="Times New Roman" w:hAnsi="Times New Roman" w:cs="Times New Roman"/>
          <w:sz w:val="24"/>
          <w:szCs w:val="24"/>
        </w:rPr>
        <w:t>s</w:t>
      </w:r>
      <w:r w:rsidR="004A13CB" w:rsidRPr="006E04D7">
        <w:rPr>
          <w:rFonts w:ascii="Times New Roman" w:hAnsi="Times New Roman" w:cs="Times New Roman"/>
          <w:sz w:val="24"/>
          <w:szCs w:val="24"/>
        </w:rPr>
        <w:t xml:space="preserve"> that the highest volume of catch belongs to the </w:t>
      </w:r>
      <w:r w:rsidR="004D2FD2" w:rsidRPr="006E04D7">
        <w:rPr>
          <w:rFonts w:ascii="Times New Roman" w:hAnsi="Times New Roman" w:cs="Times New Roman"/>
          <w:sz w:val="24"/>
          <w:szCs w:val="24"/>
        </w:rPr>
        <w:t>EU</w:t>
      </w:r>
      <w:r w:rsidR="004A13CB" w:rsidRPr="006E04D7">
        <w:rPr>
          <w:rFonts w:ascii="Times New Roman" w:hAnsi="Times New Roman" w:cs="Times New Roman"/>
          <w:sz w:val="24"/>
          <w:szCs w:val="24"/>
        </w:rPr>
        <w:t xml:space="preserve"> group</w:t>
      </w:r>
      <w:r w:rsidR="003D4551" w:rsidRPr="006E04D7">
        <w:rPr>
          <w:rFonts w:ascii="Times New Roman" w:hAnsi="Times New Roman" w:cs="Times New Roman"/>
          <w:sz w:val="24"/>
          <w:szCs w:val="24"/>
        </w:rPr>
        <w:t xml:space="preserve"> with a total catch of </w:t>
      </w:r>
      <w:r w:rsidR="004D2FD2" w:rsidRPr="006E04D7">
        <w:rPr>
          <w:rFonts w:ascii="Times New Roman" w:hAnsi="Times New Roman" w:cs="Times New Roman"/>
          <w:sz w:val="24"/>
          <w:szCs w:val="24"/>
        </w:rPr>
        <w:t>293,842</w:t>
      </w:r>
      <w:r w:rsidR="004A13CB" w:rsidRPr="006E04D7">
        <w:rPr>
          <w:rFonts w:ascii="Times New Roman" w:hAnsi="Times New Roman" w:cs="Times New Roman"/>
          <w:sz w:val="24"/>
          <w:szCs w:val="24"/>
        </w:rPr>
        <w:t xml:space="preserve"> </w:t>
      </w:r>
      <w:r w:rsidR="003D4551" w:rsidRPr="006E04D7">
        <w:rPr>
          <w:rFonts w:ascii="Times New Roman" w:hAnsi="Times New Roman" w:cs="Times New Roman"/>
          <w:sz w:val="24"/>
          <w:szCs w:val="24"/>
        </w:rPr>
        <w:t xml:space="preserve">tonnes </w:t>
      </w:r>
      <w:r w:rsidR="004A13CB" w:rsidRPr="006E04D7">
        <w:rPr>
          <w:rFonts w:ascii="Times New Roman" w:hAnsi="Times New Roman" w:cs="Times New Roman"/>
          <w:sz w:val="24"/>
          <w:szCs w:val="24"/>
        </w:rPr>
        <w:t xml:space="preserve">Followed by </w:t>
      </w:r>
      <w:r w:rsidR="004D2FD2" w:rsidRPr="006E04D7">
        <w:rPr>
          <w:rFonts w:ascii="Times New Roman" w:hAnsi="Times New Roman" w:cs="Times New Roman"/>
          <w:sz w:val="24"/>
          <w:szCs w:val="24"/>
        </w:rPr>
        <w:t>the NEI</w:t>
      </w:r>
      <w:r w:rsidR="004A13CB" w:rsidRPr="006E04D7">
        <w:rPr>
          <w:rFonts w:ascii="Times New Roman" w:hAnsi="Times New Roman" w:cs="Times New Roman"/>
          <w:sz w:val="24"/>
          <w:szCs w:val="24"/>
        </w:rPr>
        <w:t>. The country with the lowest amount of catch is Serbia and ICCAT.</w:t>
      </w:r>
      <w:r w:rsidR="00E875EB" w:rsidRPr="006E04D7">
        <w:rPr>
          <w:rFonts w:ascii="Times New Roman" w:hAnsi="Times New Roman" w:cs="Times New Roman"/>
          <w:sz w:val="24"/>
          <w:szCs w:val="24"/>
        </w:rPr>
        <w:t xml:space="preserve"> The high level of NEI </w:t>
      </w:r>
      <w:r w:rsidR="00E759F4" w:rsidRPr="006E04D7">
        <w:rPr>
          <w:rFonts w:ascii="Times New Roman" w:hAnsi="Times New Roman" w:cs="Times New Roman"/>
          <w:sz w:val="24"/>
          <w:szCs w:val="24"/>
        </w:rPr>
        <w:t>may be partly explained by the i</w:t>
      </w:r>
      <w:r w:rsidR="00E875EB" w:rsidRPr="006E04D7">
        <w:rPr>
          <w:rFonts w:ascii="Times New Roman" w:hAnsi="Times New Roman" w:cs="Times New Roman"/>
          <w:sz w:val="24"/>
          <w:szCs w:val="24"/>
        </w:rPr>
        <w:t xml:space="preserve">llegal and unreported catch within the region.  </w:t>
      </w:r>
      <w:r w:rsidR="002D1FB2" w:rsidRPr="006E04D7">
        <w:rPr>
          <w:rFonts w:ascii="Times New Roman" w:hAnsi="Times New Roman" w:cs="Times New Roman"/>
          <w:sz w:val="24"/>
          <w:szCs w:val="24"/>
        </w:rPr>
        <w:t>In</w:t>
      </w:r>
      <w:r w:rsidR="00E875EB" w:rsidRPr="006E04D7">
        <w:rPr>
          <w:rFonts w:ascii="Times New Roman" w:hAnsi="Times New Roman" w:cs="Times New Roman"/>
          <w:sz w:val="24"/>
          <w:szCs w:val="24"/>
        </w:rPr>
        <w:t xml:space="preserve"> a 2011 report by ICCAT, </w:t>
      </w:r>
      <w:r w:rsidR="00E759F4" w:rsidRPr="006E04D7">
        <w:rPr>
          <w:rFonts w:ascii="Times New Roman" w:hAnsi="Times New Roman" w:cs="Times New Roman"/>
          <w:sz w:val="24"/>
          <w:szCs w:val="24"/>
        </w:rPr>
        <w:t>t</w:t>
      </w:r>
      <w:r w:rsidR="00E875EB" w:rsidRPr="006E04D7">
        <w:rPr>
          <w:rFonts w:ascii="Times New Roman" w:hAnsi="Times New Roman" w:cs="Times New Roman"/>
          <w:sz w:val="24"/>
          <w:szCs w:val="24"/>
        </w:rPr>
        <w:t xml:space="preserve">he illegal catches were estimated to be up to 107% above the allowable </w:t>
      </w:r>
      <w:r w:rsidR="002D5D55" w:rsidRPr="006E04D7">
        <w:rPr>
          <w:rFonts w:ascii="Times New Roman" w:hAnsi="Times New Roman" w:cs="Times New Roman"/>
          <w:sz w:val="24"/>
          <w:szCs w:val="24"/>
        </w:rPr>
        <w:t>Total Allowable Catch (</w:t>
      </w:r>
      <w:r w:rsidR="00E875EB" w:rsidRPr="006E04D7">
        <w:rPr>
          <w:rFonts w:ascii="Times New Roman" w:hAnsi="Times New Roman" w:cs="Times New Roman"/>
          <w:sz w:val="24"/>
          <w:szCs w:val="24"/>
        </w:rPr>
        <w:t>TAC</w:t>
      </w:r>
      <w:r w:rsidR="002D5D55" w:rsidRPr="006E04D7">
        <w:rPr>
          <w:rFonts w:ascii="Times New Roman" w:hAnsi="Times New Roman" w:cs="Times New Roman"/>
          <w:sz w:val="24"/>
          <w:szCs w:val="24"/>
        </w:rPr>
        <w:t>)</w:t>
      </w:r>
      <w:r w:rsidR="00E875EB" w:rsidRPr="006E04D7">
        <w:rPr>
          <w:rFonts w:ascii="Times New Roman" w:hAnsi="Times New Roman" w:cs="Times New Roman"/>
          <w:sz w:val="24"/>
          <w:szCs w:val="24"/>
        </w:rPr>
        <w:t xml:space="preserve"> in 2007, and</w:t>
      </w:r>
      <w:r w:rsidR="004A13CB" w:rsidRPr="006E04D7">
        <w:rPr>
          <w:rFonts w:ascii="Times New Roman" w:hAnsi="Times New Roman" w:cs="Times New Roman"/>
          <w:sz w:val="24"/>
          <w:szCs w:val="24"/>
        </w:rPr>
        <w:t xml:space="preserve"> </w:t>
      </w:r>
      <w:r w:rsidR="00E759F4" w:rsidRPr="006E04D7">
        <w:rPr>
          <w:rFonts w:ascii="Times New Roman" w:hAnsi="Times New Roman" w:cs="Times New Roman"/>
          <w:sz w:val="24"/>
          <w:szCs w:val="24"/>
        </w:rPr>
        <w:t>i</w:t>
      </w:r>
      <w:r w:rsidRPr="006E04D7">
        <w:rPr>
          <w:rFonts w:ascii="Times New Roman" w:hAnsi="Times New Roman" w:cs="Times New Roman"/>
          <w:sz w:val="24"/>
          <w:szCs w:val="24"/>
        </w:rPr>
        <w:t xml:space="preserve">n a study by </w:t>
      </w:r>
      <w:proofErr w:type="spellStart"/>
      <w:r w:rsidRPr="006E04D7">
        <w:rPr>
          <w:rFonts w:ascii="Times New Roman" w:hAnsi="Times New Roman" w:cs="Times New Roman"/>
          <w:sz w:val="24"/>
          <w:szCs w:val="24"/>
        </w:rPr>
        <w:t>Gagern</w:t>
      </w:r>
      <w:proofErr w:type="spellEnd"/>
      <w:r w:rsidRPr="006E04D7">
        <w:rPr>
          <w:rFonts w:ascii="Times New Roman" w:hAnsi="Times New Roman" w:cs="Times New Roman"/>
          <w:sz w:val="24"/>
          <w:szCs w:val="24"/>
        </w:rPr>
        <w:t xml:space="preserve"> et al. </w:t>
      </w:r>
      <w:r w:rsidRPr="006E04D7">
        <w:rPr>
          <w:rFonts w:ascii="Times New Roman" w:hAnsi="Times New Roman" w:cs="Times New Roman"/>
          <w:sz w:val="24"/>
          <w:szCs w:val="24"/>
        </w:rPr>
        <w:fldChar w:fldCharType="begin"/>
      </w:r>
      <w:r w:rsidR="00D6484C" w:rsidRPr="006E04D7">
        <w:rPr>
          <w:rFonts w:ascii="Times New Roman" w:hAnsi="Times New Roman" w:cs="Times New Roman"/>
          <w:sz w:val="24"/>
          <w:szCs w:val="24"/>
        </w:rPr>
        <w:instrText xml:space="preserve"> ADDIN EN.CITE &lt;EndNote&gt;&lt;Cite&gt;&lt;Author&gt;Gagern&lt;/Author&gt;&lt;Year&gt;2013&lt;/Year&gt;&lt;RecNum&gt;289&lt;/RecNum&gt;&lt;DisplayText&gt;[20]&lt;/DisplayText&gt;&lt;record&gt;&lt;rec-number&gt;289&lt;/rec-number&gt;&lt;foreign-keys&gt;&lt;key app="EN" db-id="wffdwdt97adpw0eeedr5t2wbdwf5etardpas"&gt;289&lt;/key&gt;&lt;/foreign-keys&gt;&lt;ref-type name="Journal Article"&gt;17&lt;/ref-type&gt;&lt;contributors&gt;&lt;authors&gt;&lt;author&gt;Gagern, A.&lt;/author&gt;&lt;author&gt;Van den Bergh, J.&lt;/author&gt;&lt;author&gt;Sumaila, U.R.&lt;/author&gt;&lt;/authors&gt;&lt;/contributors&gt;&lt;titles&gt;&lt;title&gt;Trade-Based Estimation of Bluefin Tuna Catches in the Eastern Atlantic and Mediterranean&lt;/title&gt;&lt;secondary-title&gt;PLoS ONE&lt;/secondary-title&gt;&lt;/titles&gt;&lt;periodical&gt;&lt;full-title&gt;PLoS ONE&lt;/full-title&gt;&lt;/periodical&gt;&lt;volume&gt;8&lt;/volume&gt;&lt;number&gt;7&lt;/number&gt;&lt;dates&gt;&lt;year&gt;2013&lt;/year&gt;&lt;/dates&gt;&lt;urls&gt;&lt;/urls&gt;&lt;/record&gt;&lt;/Cite&gt;&lt;/EndNote&gt;</w:instrText>
      </w:r>
      <w:r w:rsidRPr="006E04D7">
        <w:rPr>
          <w:rFonts w:ascii="Times New Roman" w:hAnsi="Times New Roman" w:cs="Times New Roman"/>
          <w:sz w:val="24"/>
          <w:szCs w:val="24"/>
        </w:rPr>
        <w:fldChar w:fldCharType="separate"/>
      </w:r>
      <w:r w:rsidR="00D6484C" w:rsidRPr="006E04D7">
        <w:rPr>
          <w:rFonts w:ascii="Times New Roman" w:hAnsi="Times New Roman" w:cs="Times New Roman"/>
          <w:noProof/>
          <w:sz w:val="24"/>
          <w:szCs w:val="24"/>
        </w:rPr>
        <w:t>[</w:t>
      </w:r>
      <w:hyperlink w:anchor="_ENREF_20" w:tooltip="Gagern, 2013 #289" w:history="1">
        <w:r w:rsidR="00CB2334" w:rsidRPr="006E04D7">
          <w:rPr>
            <w:rFonts w:ascii="Times New Roman" w:hAnsi="Times New Roman" w:cs="Times New Roman"/>
            <w:noProof/>
            <w:sz w:val="24"/>
            <w:szCs w:val="24"/>
          </w:rPr>
          <w:t>20</w:t>
        </w:r>
      </w:hyperlink>
      <w:r w:rsidR="00D6484C"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 significant levels of excess catch in the Eastern Atlantic and Mediterranean is reported such that between 2008-2011, the catch exceeded the TAC by 57%. </w:t>
      </w:r>
      <w:r w:rsidR="00E875EB" w:rsidRPr="006E04D7">
        <w:rPr>
          <w:rFonts w:ascii="Times New Roman" w:hAnsi="Times New Roman" w:cs="Times New Roman"/>
          <w:sz w:val="24"/>
          <w:szCs w:val="24"/>
        </w:rPr>
        <w:t xml:space="preserve"> </w:t>
      </w:r>
    </w:p>
    <w:p w14:paraId="1E6B0F58" w14:textId="77777777" w:rsidR="001A492E" w:rsidRPr="006E04D7" w:rsidRDefault="00956422" w:rsidP="00092CEA">
      <w:pPr>
        <w:keepNext/>
        <w:spacing w:line="360" w:lineRule="auto"/>
        <w:jc w:val="center"/>
        <w:rPr>
          <w:rFonts w:ascii="Times New Roman" w:hAnsi="Times New Roman" w:cs="Times New Roman"/>
        </w:rPr>
      </w:pPr>
      <w:r w:rsidRPr="006E04D7">
        <w:rPr>
          <w:rFonts w:ascii="Times New Roman" w:hAnsi="Times New Roman" w:cs="Times New Roman"/>
          <w:noProof/>
          <w:lang w:eastAsia="en-GB"/>
        </w:rPr>
        <w:lastRenderedPageBreak/>
        <w:drawing>
          <wp:inline distT="0" distB="0" distL="0" distR="0" wp14:anchorId="785B3AA2" wp14:editId="5EE560D8">
            <wp:extent cx="5029200" cy="3048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387458" w14:textId="77777777" w:rsidR="00EA7C7D" w:rsidRPr="006E04D7" w:rsidRDefault="001A492E" w:rsidP="00092CEA">
      <w:pPr>
        <w:pStyle w:val="Caption"/>
        <w:spacing w:line="360" w:lineRule="auto"/>
        <w:jc w:val="both"/>
        <w:rPr>
          <w:rFonts w:ascii="Times New Roman" w:hAnsi="Times New Roman" w:cs="Times New Roman"/>
          <w:sz w:val="24"/>
          <w:szCs w:val="24"/>
        </w:rPr>
      </w:pPr>
      <w:r w:rsidRPr="006E04D7">
        <w:rPr>
          <w:rFonts w:ascii="Times New Roman" w:hAnsi="Times New Roman" w:cs="Times New Roman"/>
        </w:rPr>
        <w:t xml:space="preserve">Figure </w:t>
      </w:r>
      <w:r w:rsidR="0009676B" w:rsidRPr="006E04D7">
        <w:rPr>
          <w:rFonts w:ascii="Times New Roman" w:hAnsi="Times New Roman" w:cs="Times New Roman"/>
        </w:rPr>
        <w:fldChar w:fldCharType="begin"/>
      </w:r>
      <w:r w:rsidR="0009676B" w:rsidRPr="006E04D7">
        <w:rPr>
          <w:rFonts w:ascii="Times New Roman" w:hAnsi="Times New Roman" w:cs="Times New Roman"/>
        </w:rPr>
        <w:instrText xml:space="preserve"> SEQ Figure \* ARABIC </w:instrText>
      </w:r>
      <w:r w:rsidR="0009676B" w:rsidRPr="006E04D7">
        <w:rPr>
          <w:rFonts w:ascii="Times New Roman" w:hAnsi="Times New Roman" w:cs="Times New Roman"/>
        </w:rPr>
        <w:fldChar w:fldCharType="separate"/>
      </w:r>
      <w:r w:rsidR="00563C86">
        <w:rPr>
          <w:rFonts w:ascii="Times New Roman" w:hAnsi="Times New Roman" w:cs="Times New Roman"/>
          <w:noProof/>
        </w:rPr>
        <w:t>3</w:t>
      </w:r>
      <w:r w:rsidR="0009676B" w:rsidRPr="006E04D7">
        <w:rPr>
          <w:rFonts w:ascii="Times New Roman" w:hAnsi="Times New Roman" w:cs="Times New Roman"/>
          <w:noProof/>
        </w:rPr>
        <w:fldChar w:fldCharType="end"/>
      </w:r>
      <w:r w:rsidRPr="006E04D7">
        <w:rPr>
          <w:rFonts w:ascii="Times New Roman" w:hAnsi="Times New Roman" w:cs="Times New Roman"/>
        </w:rPr>
        <w:t>: Total catch by country-Mediterranean</w:t>
      </w:r>
    </w:p>
    <w:p w14:paraId="6CD4117C" w14:textId="77777777" w:rsidR="00EA7C7D" w:rsidRPr="006E04D7" w:rsidRDefault="003D4551" w:rsidP="009E0552">
      <w:pPr>
        <w:pStyle w:val="Heading3"/>
        <w:ind w:left="1080"/>
        <w:rPr>
          <w:rFonts w:ascii="Times New Roman" w:hAnsi="Times New Roman" w:cs="Times New Roman"/>
        </w:rPr>
      </w:pPr>
      <w:r w:rsidRPr="006E04D7">
        <w:rPr>
          <w:rFonts w:ascii="Times New Roman" w:hAnsi="Times New Roman" w:cs="Times New Roman"/>
        </w:rPr>
        <w:t>East Atlantic</w:t>
      </w:r>
    </w:p>
    <w:p w14:paraId="1EAFA0C2" w14:textId="77777777" w:rsidR="00493C29" w:rsidRPr="006E04D7" w:rsidRDefault="00493C29"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The countries in the East Atlantic region are</w:t>
      </w:r>
      <w:r w:rsidR="002D1FB2" w:rsidRPr="006E04D7">
        <w:rPr>
          <w:rFonts w:ascii="Times New Roman" w:hAnsi="Times New Roman" w:cs="Times New Roman"/>
          <w:sz w:val="24"/>
          <w:szCs w:val="24"/>
        </w:rPr>
        <w:t xml:space="preserve"> EU</w:t>
      </w:r>
      <w:r w:rsidR="00DC5FA0" w:rsidRPr="006E04D7">
        <w:rPr>
          <w:rFonts w:ascii="Times New Roman" w:hAnsi="Times New Roman" w:cs="Times New Roman"/>
          <w:sz w:val="24"/>
          <w:szCs w:val="24"/>
        </w:rPr>
        <w:t xml:space="preserve"> </w:t>
      </w:r>
      <w:r w:rsidR="002D1FB2" w:rsidRPr="006E04D7">
        <w:rPr>
          <w:rFonts w:ascii="Times New Roman" w:hAnsi="Times New Roman" w:cs="Times New Roman"/>
          <w:sz w:val="24"/>
          <w:szCs w:val="24"/>
        </w:rPr>
        <w:t>(</w:t>
      </w:r>
      <w:r w:rsidR="00DC5FA0" w:rsidRPr="006E04D7">
        <w:rPr>
          <w:rFonts w:ascii="Times New Roman" w:hAnsi="Times New Roman" w:cs="Times New Roman"/>
          <w:sz w:val="24"/>
          <w:szCs w:val="24"/>
        </w:rPr>
        <w:t>Spain, France, Ireland, Netherland, Portugal, UK</w:t>
      </w:r>
      <w:r w:rsidR="002D1FB2" w:rsidRPr="006E04D7">
        <w:rPr>
          <w:rFonts w:ascii="Times New Roman" w:hAnsi="Times New Roman" w:cs="Times New Roman"/>
          <w:sz w:val="24"/>
          <w:szCs w:val="24"/>
        </w:rPr>
        <w:t>)</w:t>
      </w:r>
      <w:r w:rsidR="00DC5FA0" w:rsidRPr="006E04D7">
        <w:rPr>
          <w:rFonts w:ascii="Times New Roman" w:hAnsi="Times New Roman" w:cs="Times New Roman"/>
          <w:sz w:val="24"/>
          <w:szCs w:val="24"/>
        </w:rPr>
        <w:t>,</w:t>
      </w:r>
      <w:r w:rsidR="002D1FB2" w:rsidRPr="006E04D7">
        <w:rPr>
          <w:rFonts w:ascii="Times New Roman" w:hAnsi="Times New Roman" w:cs="Times New Roman"/>
          <w:sz w:val="24"/>
          <w:szCs w:val="24"/>
        </w:rPr>
        <w:t xml:space="preserve"> China, Taipei, Denmark,</w:t>
      </w:r>
      <w:r w:rsidR="00DC5FA0" w:rsidRPr="006E04D7">
        <w:rPr>
          <w:rFonts w:ascii="Times New Roman" w:hAnsi="Times New Roman" w:cs="Times New Roman"/>
          <w:sz w:val="24"/>
          <w:szCs w:val="24"/>
        </w:rPr>
        <w:t xml:space="preserve"> Faroe Islands, Guinea </w:t>
      </w:r>
      <w:proofErr w:type="spellStart"/>
      <w:r w:rsidR="00DC5FA0" w:rsidRPr="006E04D7">
        <w:rPr>
          <w:rFonts w:ascii="Times New Roman" w:hAnsi="Times New Roman" w:cs="Times New Roman"/>
          <w:sz w:val="24"/>
          <w:szCs w:val="24"/>
        </w:rPr>
        <w:t>Ecuatorial</w:t>
      </w:r>
      <w:proofErr w:type="spellEnd"/>
      <w:r w:rsidR="00DC5FA0" w:rsidRPr="006E04D7">
        <w:rPr>
          <w:rFonts w:ascii="Times New Roman" w:hAnsi="Times New Roman" w:cs="Times New Roman"/>
          <w:sz w:val="24"/>
          <w:szCs w:val="24"/>
        </w:rPr>
        <w:t>, Iceland</w:t>
      </w:r>
      <w:r w:rsidR="002D1FB2" w:rsidRPr="006E04D7">
        <w:rPr>
          <w:rFonts w:ascii="Times New Roman" w:hAnsi="Times New Roman" w:cs="Times New Roman"/>
          <w:sz w:val="24"/>
          <w:szCs w:val="24"/>
        </w:rPr>
        <w:t>,</w:t>
      </w:r>
      <w:r w:rsidR="00DC5FA0" w:rsidRPr="006E04D7">
        <w:rPr>
          <w:rFonts w:ascii="Times New Roman" w:hAnsi="Times New Roman" w:cs="Times New Roman"/>
          <w:sz w:val="24"/>
          <w:szCs w:val="24"/>
        </w:rPr>
        <w:t xml:space="preserve"> Japan, Korean republic, </w:t>
      </w:r>
      <w:proofErr w:type="spellStart"/>
      <w:r w:rsidR="00DC5FA0" w:rsidRPr="006E04D7">
        <w:rPr>
          <w:rFonts w:ascii="Times New Roman" w:hAnsi="Times New Roman" w:cs="Times New Roman"/>
          <w:sz w:val="24"/>
          <w:szCs w:val="24"/>
        </w:rPr>
        <w:t>Moroc</w:t>
      </w:r>
      <w:proofErr w:type="spellEnd"/>
      <w:r w:rsidR="00DC5FA0" w:rsidRPr="006E04D7">
        <w:rPr>
          <w:rFonts w:ascii="Times New Roman" w:hAnsi="Times New Roman" w:cs="Times New Roman"/>
          <w:sz w:val="24"/>
          <w:szCs w:val="24"/>
        </w:rPr>
        <w:t xml:space="preserve">, Norway, Panama, Senegal, </w:t>
      </w:r>
      <w:proofErr w:type="spellStart"/>
      <w:r w:rsidR="00DC5FA0" w:rsidRPr="006E04D7">
        <w:rPr>
          <w:rFonts w:ascii="Times New Roman" w:hAnsi="Times New Roman" w:cs="Times New Roman"/>
          <w:sz w:val="24"/>
          <w:szCs w:val="24"/>
        </w:rPr>
        <w:t>Seychell</w:t>
      </w:r>
      <w:proofErr w:type="spellEnd"/>
      <w:r w:rsidR="00DC5FA0" w:rsidRPr="006E04D7">
        <w:rPr>
          <w:rFonts w:ascii="Times New Roman" w:hAnsi="Times New Roman" w:cs="Times New Roman"/>
          <w:sz w:val="24"/>
          <w:szCs w:val="24"/>
        </w:rPr>
        <w:t xml:space="preserve">, Sierra Leone, </w:t>
      </w:r>
      <w:proofErr w:type="spellStart"/>
      <w:r w:rsidR="00DC5FA0" w:rsidRPr="006E04D7">
        <w:rPr>
          <w:rFonts w:ascii="Times New Roman" w:hAnsi="Times New Roman" w:cs="Times New Roman"/>
          <w:sz w:val="24"/>
          <w:szCs w:val="24"/>
        </w:rPr>
        <w:t>Iccat</w:t>
      </w:r>
      <w:proofErr w:type="spellEnd"/>
      <w:r w:rsidR="00DC5FA0" w:rsidRPr="006E04D7">
        <w:rPr>
          <w:rFonts w:ascii="Times New Roman" w:hAnsi="Times New Roman" w:cs="Times New Roman"/>
          <w:sz w:val="24"/>
          <w:szCs w:val="24"/>
        </w:rPr>
        <w:t xml:space="preserve"> and NEI.</w:t>
      </w:r>
    </w:p>
    <w:p w14:paraId="52B6FCBB" w14:textId="77777777" w:rsidR="00C74CF7" w:rsidRPr="006E04D7" w:rsidRDefault="00C74CF7"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Based on the Gear Type, the</w:t>
      </w:r>
      <w:r w:rsidR="00E759F4" w:rsidRPr="006E04D7">
        <w:rPr>
          <w:rFonts w:ascii="Times New Roman" w:hAnsi="Times New Roman" w:cs="Times New Roman"/>
          <w:sz w:val="24"/>
          <w:szCs w:val="24"/>
        </w:rPr>
        <w:t xml:space="preserve"> trap</w:t>
      </w:r>
      <w:r w:rsidRPr="006E04D7">
        <w:rPr>
          <w:rFonts w:ascii="Times New Roman" w:hAnsi="Times New Roman" w:cs="Times New Roman"/>
          <w:sz w:val="24"/>
          <w:szCs w:val="24"/>
        </w:rPr>
        <w:t xml:space="preserve"> method, dominates the other methods with 35% </w:t>
      </w:r>
      <w:r w:rsidR="008C2AB0" w:rsidRPr="006E04D7">
        <w:rPr>
          <w:rFonts w:ascii="Times New Roman" w:hAnsi="Times New Roman" w:cs="Times New Roman"/>
          <w:sz w:val="24"/>
          <w:szCs w:val="24"/>
        </w:rPr>
        <w:t xml:space="preserve">of the total catch </w:t>
      </w:r>
      <w:r w:rsidRPr="006E04D7">
        <w:rPr>
          <w:rFonts w:ascii="Times New Roman" w:hAnsi="Times New Roman" w:cs="Times New Roman"/>
          <w:sz w:val="24"/>
          <w:szCs w:val="24"/>
        </w:rPr>
        <w:t xml:space="preserve">while the RR method is the least used method in the East Atlantic. </w:t>
      </w:r>
      <w:r w:rsidR="00677AB4" w:rsidRPr="006E04D7">
        <w:rPr>
          <w:rFonts w:ascii="Times New Roman" w:hAnsi="Times New Roman" w:cs="Times New Roman"/>
          <w:sz w:val="24"/>
          <w:szCs w:val="24"/>
        </w:rPr>
        <w:t xml:space="preserve">Traditional traps are an ecologically compatible fishing technology and have provided </w:t>
      </w:r>
      <w:r w:rsidR="00204779" w:rsidRPr="006E04D7">
        <w:rPr>
          <w:rFonts w:ascii="Times New Roman" w:hAnsi="Times New Roman" w:cs="Times New Roman"/>
          <w:sz w:val="24"/>
          <w:szCs w:val="24"/>
        </w:rPr>
        <w:t>sustainable</w:t>
      </w:r>
      <w:r w:rsidR="00677AB4" w:rsidRPr="006E04D7">
        <w:rPr>
          <w:rFonts w:ascii="Times New Roman" w:hAnsi="Times New Roman" w:cs="Times New Roman"/>
          <w:sz w:val="24"/>
          <w:szCs w:val="24"/>
        </w:rPr>
        <w:t xml:space="preserve"> </w:t>
      </w:r>
      <w:r w:rsidR="00E759F4" w:rsidRPr="006E04D7">
        <w:rPr>
          <w:rFonts w:ascii="Times New Roman" w:hAnsi="Times New Roman" w:cs="Times New Roman"/>
          <w:sz w:val="24"/>
          <w:szCs w:val="24"/>
        </w:rPr>
        <w:t>BFT</w:t>
      </w:r>
      <w:r w:rsidR="00677AB4" w:rsidRPr="006E04D7">
        <w:rPr>
          <w:rFonts w:ascii="Times New Roman" w:hAnsi="Times New Roman" w:cs="Times New Roman"/>
          <w:sz w:val="24"/>
          <w:szCs w:val="24"/>
        </w:rPr>
        <w:t xml:space="preserve"> fishery for over 2000 years. Furthermore, the traps should be used as </w:t>
      </w:r>
      <w:r w:rsidR="00E759F4" w:rsidRPr="006E04D7">
        <w:rPr>
          <w:rFonts w:ascii="Times New Roman" w:hAnsi="Times New Roman" w:cs="Times New Roman"/>
          <w:sz w:val="24"/>
          <w:szCs w:val="24"/>
        </w:rPr>
        <w:t xml:space="preserve">BFT </w:t>
      </w:r>
      <w:r w:rsidR="00677AB4" w:rsidRPr="006E04D7">
        <w:rPr>
          <w:rFonts w:ascii="Times New Roman" w:hAnsi="Times New Roman" w:cs="Times New Roman"/>
          <w:sz w:val="24"/>
          <w:szCs w:val="24"/>
        </w:rPr>
        <w:t xml:space="preserve">sentinel gear and as a source of significant ecological information </w:t>
      </w:r>
      <w:r w:rsidR="00677AB4" w:rsidRPr="006E04D7">
        <w:rPr>
          <w:rFonts w:ascii="Times New Roman" w:hAnsi="Times New Roman" w:cs="Times New Roman"/>
          <w:sz w:val="24"/>
          <w:szCs w:val="24"/>
        </w:rPr>
        <w:fldChar w:fldCharType="begin"/>
      </w:r>
      <w:r w:rsidR="00D6484C" w:rsidRPr="006E04D7">
        <w:rPr>
          <w:rFonts w:ascii="Times New Roman" w:hAnsi="Times New Roman" w:cs="Times New Roman"/>
          <w:sz w:val="24"/>
          <w:szCs w:val="24"/>
        </w:rPr>
        <w:instrText xml:space="preserve"> ADDIN EN.CITE &lt;EndNote&gt;&lt;Cite&gt;&lt;Author&gt;Addis&lt;/Author&gt;&lt;Year&gt;2008&lt;/Year&gt;&lt;RecNum&gt;295&lt;/RecNum&gt;&lt;DisplayText&gt;[21]&lt;/DisplayText&gt;&lt;record&gt;&lt;rec-number&gt;295&lt;/rec-number&gt;&lt;foreign-keys&gt;&lt;key app="EN" db-id="wffdwdt97adpw0eeedr5t2wbdwf5etardpas"&gt;295&lt;/key&gt;&lt;/foreign-keys&gt;&lt;ref-type name="Journal Article"&gt;17&lt;/ref-type&gt;&lt;contributors&gt;&lt;authors&gt;&lt;author&gt;Addis, P. &lt;/author&gt;&lt;author&gt;Dean, J. M. &lt;/author&gt;&lt;author&gt;Pesci, P. &lt;/author&gt;&lt;author&gt;Locci, I. &lt;/author&gt;&lt;author&gt;Cannas, R. &lt;/author&gt;&lt;author&gt;Corrias, S. &lt;/author&gt;&lt;author&gt;Cau, A.&lt;/author&gt;&lt;/authors&gt;&lt;/contributors&gt;&lt;titles&gt;&lt;title&gt;Effects of local scale perturbations in the Atlantic bluefin tuna (Thunnus thynnus L.) trap fishery of Sardinia (W. Mediterranean)&lt;/title&gt;&lt;secondary-title&gt;Fisheries Research&lt;/secondary-title&gt;&lt;/titles&gt;&lt;periodical&gt;&lt;full-title&gt;Fisheries Research&lt;/full-title&gt;&lt;/periodical&gt;&lt;pages&gt;242-254&lt;/pages&gt;&lt;volume&gt;92&lt;/volume&gt;&lt;number&gt;2-3&lt;/number&gt;&lt;dates&gt;&lt;year&gt;2008&lt;/year&gt;&lt;/dates&gt;&lt;urls&gt;&lt;/urls&gt;&lt;/record&gt;&lt;/Cite&gt;&lt;/EndNote&gt;</w:instrText>
      </w:r>
      <w:r w:rsidR="00677AB4" w:rsidRPr="006E04D7">
        <w:rPr>
          <w:rFonts w:ascii="Times New Roman" w:hAnsi="Times New Roman" w:cs="Times New Roman"/>
          <w:sz w:val="24"/>
          <w:szCs w:val="24"/>
        </w:rPr>
        <w:fldChar w:fldCharType="separate"/>
      </w:r>
      <w:r w:rsidR="00D6484C" w:rsidRPr="006E04D7">
        <w:rPr>
          <w:rFonts w:ascii="Times New Roman" w:hAnsi="Times New Roman" w:cs="Times New Roman"/>
          <w:noProof/>
          <w:sz w:val="24"/>
          <w:szCs w:val="24"/>
        </w:rPr>
        <w:t>[</w:t>
      </w:r>
      <w:hyperlink w:anchor="_ENREF_21" w:tooltip="Addis, 2008 #295" w:history="1">
        <w:r w:rsidR="00CB2334" w:rsidRPr="006E04D7">
          <w:rPr>
            <w:rFonts w:ascii="Times New Roman" w:hAnsi="Times New Roman" w:cs="Times New Roman"/>
            <w:noProof/>
            <w:sz w:val="24"/>
            <w:szCs w:val="24"/>
          </w:rPr>
          <w:t>21</w:t>
        </w:r>
      </w:hyperlink>
      <w:r w:rsidR="00D6484C" w:rsidRPr="006E04D7">
        <w:rPr>
          <w:rFonts w:ascii="Times New Roman" w:hAnsi="Times New Roman" w:cs="Times New Roman"/>
          <w:noProof/>
          <w:sz w:val="24"/>
          <w:szCs w:val="24"/>
        </w:rPr>
        <w:t>]</w:t>
      </w:r>
      <w:r w:rsidR="00677AB4" w:rsidRPr="006E04D7">
        <w:rPr>
          <w:rFonts w:ascii="Times New Roman" w:hAnsi="Times New Roman" w:cs="Times New Roman"/>
          <w:sz w:val="24"/>
          <w:szCs w:val="24"/>
        </w:rPr>
        <w:fldChar w:fldCharType="end"/>
      </w:r>
      <w:r w:rsidR="00677AB4" w:rsidRPr="006E04D7">
        <w:rPr>
          <w:rFonts w:ascii="Times New Roman" w:hAnsi="Times New Roman" w:cs="Times New Roman"/>
          <w:sz w:val="24"/>
          <w:szCs w:val="24"/>
        </w:rPr>
        <w:t>.</w:t>
      </w:r>
    </w:p>
    <w:p w14:paraId="510A6BFF" w14:textId="77777777" w:rsidR="001A492E" w:rsidRPr="006E04D7" w:rsidRDefault="003D4551" w:rsidP="00092CEA">
      <w:pPr>
        <w:keepNext/>
        <w:spacing w:line="360" w:lineRule="auto"/>
        <w:jc w:val="both"/>
        <w:rPr>
          <w:rFonts w:ascii="Times New Roman" w:hAnsi="Times New Roman" w:cs="Times New Roman"/>
        </w:rPr>
      </w:pPr>
      <w:r w:rsidRPr="006E04D7">
        <w:rPr>
          <w:rFonts w:ascii="Times New Roman" w:hAnsi="Times New Roman" w:cs="Times New Roman"/>
          <w:noProof/>
          <w:sz w:val="24"/>
          <w:szCs w:val="24"/>
          <w:lang w:eastAsia="en-GB"/>
        </w:rPr>
        <w:lastRenderedPageBreak/>
        <w:drawing>
          <wp:inline distT="0" distB="0" distL="0" distR="0" wp14:anchorId="20C13263" wp14:editId="2EB6B35E">
            <wp:extent cx="5731510" cy="2909455"/>
            <wp:effectExtent l="0" t="0" r="2540"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DDFC37" w14:textId="77777777" w:rsidR="003D4551" w:rsidRPr="006E04D7" w:rsidRDefault="001A492E" w:rsidP="00092CEA">
      <w:pPr>
        <w:pStyle w:val="Caption"/>
        <w:spacing w:line="360" w:lineRule="auto"/>
        <w:jc w:val="both"/>
        <w:rPr>
          <w:rFonts w:ascii="Times New Roman" w:hAnsi="Times New Roman" w:cs="Times New Roman"/>
          <w:sz w:val="24"/>
          <w:szCs w:val="24"/>
        </w:rPr>
      </w:pPr>
      <w:r w:rsidRPr="006E04D7">
        <w:rPr>
          <w:rFonts w:ascii="Times New Roman" w:hAnsi="Times New Roman" w:cs="Times New Roman"/>
        </w:rPr>
        <w:t xml:space="preserve">Figure </w:t>
      </w:r>
      <w:r w:rsidR="0009676B" w:rsidRPr="006E04D7">
        <w:rPr>
          <w:rFonts w:ascii="Times New Roman" w:hAnsi="Times New Roman" w:cs="Times New Roman"/>
        </w:rPr>
        <w:fldChar w:fldCharType="begin"/>
      </w:r>
      <w:r w:rsidR="0009676B" w:rsidRPr="006E04D7">
        <w:rPr>
          <w:rFonts w:ascii="Times New Roman" w:hAnsi="Times New Roman" w:cs="Times New Roman"/>
        </w:rPr>
        <w:instrText xml:space="preserve"> SEQ Figure \* ARABIC </w:instrText>
      </w:r>
      <w:r w:rsidR="0009676B" w:rsidRPr="006E04D7">
        <w:rPr>
          <w:rFonts w:ascii="Times New Roman" w:hAnsi="Times New Roman" w:cs="Times New Roman"/>
        </w:rPr>
        <w:fldChar w:fldCharType="separate"/>
      </w:r>
      <w:r w:rsidR="00563C86">
        <w:rPr>
          <w:rFonts w:ascii="Times New Roman" w:hAnsi="Times New Roman" w:cs="Times New Roman"/>
          <w:noProof/>
        </w:rPr>
        <w:t>4</w:t>
      </w:r>
      <w:r w:rsidR="0009676B" w:rsidRPr="006E04D7">
        <w:rPr>
          <w:rFonts w:ascii="Times New Roman" w:hAnsi="Times New Roman" w:cs="Times New Roman"/>
          <w:noProof/>
        </w:rPr>
        <w:fldChar w:fldCharType="end"/>
      </w:r>
      <w:r w:rsidRPr="006E04D7">
        <w:rPr>
          <w:rFonts w:ascii="Times New Roman" w:hAnsi="Times New Roman" w:cs="Times New Roman"/>
        </w:rPr>
        <w:t xml:space="preserve">: Catch per </w:t>
      </w:r>
      <w:proofErr w:type="spellStart"/>
      <w:r w:rsidRPr="006E04D7">
        <w:rPr>
          <w:rFonts w:ascii="Times New Roman" w:hAnsi="Times New Roman" w:cs="Times New Roman"/>
        </w:rPr>
        <w:t>geartype</w:t>
      </w:r>
      <w:proofErr w:type="spellEnd"/>
      <w:r w:rsidRPr="006E04D7">
        <w:rPr>
          <w:rFonts w:ascii="Times New Roman" w:hAnsi="Times New Roman" w:cs="Times New Roman"/>
        </w:rPr>
        <w:t>-East Atlantic</w:t>
      </w:r>
    </w:p>
    <w:p w14:paraId="3A219702" w14:textId="77777777" w:rsidR="00EA7C7D" w:rsidRPr="006E04D7" w:rsidRDefault="002D5D55"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T</w:t>
      </w:r>
      <w:r w:rsidR="00493C29" w:rsidRPr="006E04D7">
        <w:rPr>
          <w:rFonts w:ascii="Times New Roman" w:hAnsi="Times New Roman" w:cs="Times New Roman"/>
          <w:sz w:val="24"/>
          <w:szCs w:val="24"/>
        </w:rPr>
        <w:t>he yearly catch shows a different pattern</w:t>
      </w:r>
      <w:r w:rsidR="00677AB4" w:rsidRPr="006E04D7">
        <w:rPr>
          <w:rFonts w:ascii="Times New Roman" w:hAnsi="Times New Roman" w:cs="Times New Roman"/>
          <w:sz w:val="24"/>
          <w:szCs w:val="24"/>
        </w:rPr>
        <w:t xml:space="preserve"> to that of the Mediterranean region</w:t>
      </w:r>
      <w:r w:rsidR="00493C29" w:rsidRPr="006E04D7">
        <w:rPr>
          <w:rFonts w:ascii="Times New Roman" w:hAnsi="Times New Roman" w:cs="Times New Roman"/>
          <w:sz w:val="24"/>
          <w:szCs w:val="24"/>
        </w:rPr>
        <w:t xml:space="preserve">. </w:t>
      </w:r>
      <w:r w:rsidR="00D35290" w:rsidRPr="006E04D7">
        <w:rPr>
          <w:rFonts w:ascii="Times New Roman" w:hAnsi="Times New Roman" w:cs="Times New Roman"/>
          <w:sz w:val="24"/>
          <w:szCs w:val="24"/>
        </w:rPr>
        <w:t>The y</w:t>
      </w:r>
      <w:r w:rsidR="00493C29" w:rsidRPr="006E04D7">
        <w:rPr>
          <w:rFonts w:ascii="Times New Roman" w:hAnsi="Times New Roman" w:cs="Times New Roman"/>
          <w:sz w:val="24"/>
          <w:szCs w:val="24"/>
        </w:rPr>
        <w:t xml:space="preserve">ear 1997 had the highest volume in terms of total catch with 16304 tonnes, and year 2012 is the year with the least amount of catch with 3834 tonnes. Similar to the </w:t>
      </w:r>
      <w:proofErr w:type="spellStart"/>
      <w:r w:rsidR="00493C29" w:rsidRPr="006E04D7">
        <w:rPr>
          <w:rFonts w:ascii="Times New Roman" w:hAnsi="Times New Roman" w:cs="Times New Roman"/>
          <w:sz w:val="24"/>
          <w:szCs w:val="24"/>
        </w:rPr>
        <w:t>Mediterannean</w:t>
      </w:r>
      <w:proofErr w:type="spellEnd"/>
      <w:r w:rsidR="00493C29" w:rsidRPr="006E04D7">
        <w:rPr>
          <w:rFonts w:ascii="Times New Roman" w:hAnsi="Times New Roman" w:cs="Times New Roman"/>
          <w:sz w:val="24"/>
          <w:szCs w:val="24"/>
        </w:rPr>
        <w:t xml:space="preserve"> region, the </w:t>
      </w:r>
      <w:r w:rsidR="00397416" w:rsidRPr="006E04D7">
        <w:rPr>
          <w:rFonts w:ascii="Times New Roman" w:hAnsi="Times New Roman" w:cs="Times New Roman"/>
          <w:sz w:val="24"/>
          <w:szCs w:val="24"/>
        </w:rPr>
        <w:t>catch volume</w:t>
      </w:r>
      <w:r w:rsidR="00493C29" w:rsidRPr="006E04D7">
        <w:rPr>
          <w:rFonts w:ascii="Times New Roman" w:hAnsi="Times New Roman" w:cs="Times New Roman"/>
          <w:sz w:val="24"/>
          <w:szCs w:val="24"/>
        </w:rPr>
        <w:t xml:space="preserve"> shows an increasing trend post 2012</w:t>
      </w:r>
      <w:r w:rsidR="00C74CF7" w:rsidRPr="006E04D7">
        <w:rPr>
          <w:rFonts w:ascii="Times New Roman" w:hAnsi="Times New Roman" w:cs="Times New Roman"/>
          <w:sz w:val="24"/>
          <w:szCs w:val="24"/>
        </w:rPr>
        <w:t>.</w:t>
      </w:r>
    </w:p>
    <w:p w14:paraId="35AAF714" w14:textId="77777777" w:rsidR="001A492E" w:rsidRPr="006E04D7" w:rsidRDefault="003D4551" w:rsidP="00092CEA">
      <w:pPr>
        <w:keepNext/>
        <w:spacing w:line="360" w:lineRule="auto"/>
        <w:jc w:val="both"/>
        <w:rPr>
          <w:rFonts w:ascii="Times New Roman" w:hAnsi="Times New Roman" w:cs="Times New Roman"/>
        </w:rPr>
      </w:pPr>
      <w:r w:rsidRPr="006E04D7">
        <w:rPr>
          <w:rFonts w:ascii="Times New Roman" w:hAnsi="Times New Roman" w:cs="Times New Roman"/>
          <w:noProof/>
          <w:sz w:val="24"/>
          <w:szCs w:val="24"/>
          <w:lang w:eastAsia="en-GB"/>
        </w:rPr>
        <w:drawing>
          <wp:inline distT="0" distB="0" distL="0" distR="0" wp14:anchorId="320BE7DA" wp14:editId="0DCA73B6">
            <wp:extent cx="5664200" cy="3187700"/>
            <wp:effectExtent l="0" t="0" r="1270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D57B73" w14:textId="77777777" w:rsidR="00EA7C7D" w:rsidRPr="006E04D7" w:rsidRDefault="001A492E" w:rsidP="00092CEA">
      <w:pPr>
        <w:pStyle w:val="Caption"/>
        <w:spacing w:line="360" w:lineRule="auto"/>
        <w:jc w:val="both"/>
        <w:rPr>
          <w:rFonts w:ascii="Times New Roman" w:hAnsi="Times New Roman" w:cs="Times New Roman"/>
          <w:sz w:val="24"/>
          <w:szCs w:val="24"/>
        </w:rPr>
      </w:pPr>
      <w:r w:rsidRPr="006E04D7">
        <w:rPr>
          <w:rFonts w:ascii="Times New Roman" w:hAnsi="Times New Roman" w:cs="Times New Roman"/>
        </w:rPr>
        <w:t xml:space="preserve">Figure </w:t>
      </w:r>
      <w:r w:rsidR="0009676B" w:rsidRPr="006E04D7">
        <w:rPr>
          <w:rFonts w:ascii="Times New Roman" w:hAnsi="Times New Roman" w:cs="Times New Roman"/>
        </w:rPr>
        <w:fldChar w:fldCharType="begin"/>
      </w:r>
      <w:r w:rsidR="0009676B" w:rsidRPr="006E04D7">
        <w:rPr>
          <w:rFonts w:ascii="Times New Roman" w:hAnsi="Times New Roman" w:cs="Times New Roman"/>
        </w:rPr>
        <w:instrText xml:space="preserve"> SEQ Figure \* ARABIC </w:instrText>
      </w:r>
      <w:r w:rsidR="0009676B" w:rsidRPr="006E04D7">
        <w:rPr>
          <w:rFonts w:ascii="Times New Roman" w:hAnsi="Times New Roman" w:cs="Times New Roman"/>
        </w:rPr>
        <w:fldChar w:fldCharType="separate"/>
      </w:r>
      <w:r w:rsidR="00563C86">
        <w:rPr>
          <w:rFonts w:ascii="Times New Roman" w:hAnsi="Times New Roman" w:cs="Times New Roman"/>
          <w:noProof/>
        </w:rPr>
        <w:t>5</w:t>
      </w:r>
      <w:r w:rsidR="0009676B" w:rsidRPr="006E04D7">
        <w:rPr>
          <w:rFonts w:ascii="Times New Roman" w:hAnsi="Times New Roman" w:cs="Times New Roman"/>
          <w:noProof/>
        </w:rPr>
        <w:fldChar w:fldCharType="end"/>
      </w:r>
      <w:r w:rsidRPr="006E04D7">
        <w:rPr>
          <w:rFonts w:ascii="Times New Roman" w:hAnsi="Times New Roman" w:cs="Times New Roman"/>
        </w:rPr>
        <w:t>: Yearly total catch-East Atlantic</w:t>
      </w:r>
    </w:p>
    <w:p w14:paraId="6AEDEC07" w14:textId="4F4E81F6" w:rsidR="00EA7C7D" w:rsidRPr="006E04D7" w:rsidRDefault="00C74CF7"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lastRenderedPageBreak/>
        <w:t xml:space="preserve">In terms of the total catch by country, </w:t>
      </w:r>
      <w:r w:rsidR="00964FD2" w:rsidRPr="006E04D7">
        <w:rPr>
          <w:rFonts w:ascii="Times New Roman" w:hAnsi="Times New Roman" w:cs="Times New Roman"/>
          <w:sz w:val="24"/>
          <w:szCs w:val="24"/>
        </w:rPr>
        <w:t>EU</w:t>
      </w:r>
      <w:r w:rsidRPr="006E04D7">
        <w:rPr>
          <w:rFonts w:ascii="Times New Roman" w:hAnsi="Times New Roman" w:cs="Times New Roman"/>
          <w:sz w:val="24"/>
          <w:szCs w:val="24"/>
        </w:rPr>
        <w:t xml:space="preserve">, </w:t>
      </w:r>
      <w:proofErr w:type="gramStart"/>
      <w:r w:rsidRPr="006E04D7">
        <w:rPr>
          <w:rFonts w:ascii="Times New Roman" w:hAnsi="Times New Roman" w:cs="Times New Roman"/>
          <w:sz w:val="24"/>
          <w:szCs w:val="24"/>
        </w:rPr>
        <w:t>Japan</w:t>
      </w:r>
      <w:proofErr w:type="gramEnd"/>
      <w:r w:rsidRPr="006E04D7">
        <w:rPr>
          <w:rFonts w:ascii="Times New Roman" w:hAnsi="Times New Roman" w:cs="Times New Roman"/>
          <w:sz w:val="24"/>
          <w:szCs w:val="24"/>
        </w:rPr>
        <w:t xml:space="preserve"> and </w:t>
      </w:r>
      <w:r w:rsidR="00964FD2" w:rsidRPr="006E04D7">
        <w:rPr>
          <w:rFonts w:ascii="Times New Roman" w:hAnsi="Times New Roman" w:cs="Times New Roman"/>
          <w:sz w:val="24"/>
          <w:szCs w:val="24"/>
        </w:rPr>
        <w:t>Morocco</w:t>
      </w:r>
      <w:r w:rsidRPr="006E04D7">
        <w:rPr>
          <w:rFonts w:ascii="Times New Roman" w:hAnsi="Times New Roman" w:cs="Times New Roman"/>
          <w:sz w:val="24"/>
          <w:szCs w:val="24"/>
        </w:rPr>
        <w:t xml:space="preserve"> </w:t>
      </w:r>
      <w:r w:rsidR="00964FD2" w:rsidRPr="006E04D7">
        <w:rPr>
          <w:rFonts w:ascii="Times New Roman" w:hAnsi="Times New Roman" w:cs="Times New Roman"/>
          <w:sz w:val="24"/>
          <w:szCs w:val="24"/>
        </w:rPr>
        <w:t>f</w:t>
      </w:r>
      <w:r w:rsidR="00E759F4" w:rsidRPr="006E04D7">
        <w:rPr>
          <w:rFonts w:ascii="Times New Roman" w:hAnsi="Times New Roman" w:cs="Times New Roman"/>
          <w:sz w:val="24"/>
          <w:szCs w:val="24"/>
        </w:rPr>
        <w:t xml:space="preserve">leets dominate </w:t>
      </w:r>
      <w:r w:rsidRPr="006E04D7">
        <w:rPr>
          <w:rFonts w:ascii="Times New Roman" w:hAnsi="Times New Roman" w:cs="Times New Roman"/>
          <w:sz w:val="24"/>
          <w:szCs w:val="24"/>
        </w:rPr>
        <w:t xml:space="preserve">the East Atlantic region and the lowest amount of catch belongs </w:t>
      </w:r>
      <w:commentRangeStart w:id="0"/>
      <w:r w:rsidRPr="006E04D7">
        <w:rPr>
          <w:rFonts w:ascii="Times New Roman" w:hAnsi="Times New Roman" w:cs="Times New Roman"/>
          <w:sz w:val="24"/>
          <w:szCs w:val="24"/>
        </w:rPr>
        <w:t xml:space="preserve">to </w:t>
      </w:r>
      <w:r w:rsidR="00C52DE0">
        <w:rPr>
          <w:rFonts w:ascii="Times New Roman" w:hAnsi="Times New Roman" w:cs="Times New Roman"/>
          <w:sz w:val="24"/>
          <w:szCs w:val="24"/>
        </w:rPr>
        <w:t xml:space="preserve">Equatorial </w:t>
      </w:r>
      <w:r w:rsidR="00D35290" w:rsidRPr="006E04D7">
        <w:rPr>
          <w:rFonts w:ascii="Times New Roman" w:hAnsi="Times New Roman" w:cs="Times New Roman"/>
          <w:sz w:val="24"/>
          <w:szCs w:val="24"/>
        </w:rPr>
        <w:t>G</w:t>
      </w:r>
      <w:r w:rsidRPr="006E04D7">
        <w:rPr>
          <w:rFonts w:ascii="Times New Roman" w:hAnsi="Times New Roman" w:cs="Times New Roman"/>
          <w:sz w:val="24"/>
          <w:szCs w:val="24"/>
        </w:rPr>
        <w:t>uinea.</w:t>
      </w:r>
      <w:commentRangeEnd w:id="0"/>
      <w:r w:rsidR="00C52DE0">
        <w:rPr>
          <w:rStyle w:val="CommentReference"/>
        </w:rPr>
        <w:commentReference w:id="0"/>
      </w:r>
      <w:r w:rsidR="00677AB4" w:rsidRPr="006E04D7">
        <w:rPr>
          <w:rFonts w:ascii="Times New Roman" w:hAnsi="Times New Roman" w:cs="Times New Roman"/>
          <w:sz w:val="24"/>
          <w:szCs w:val="24"/>
        </w:rPr>
        <w:t xml:space="preserve"> Also</w:t>
      </w:r>
      <w:r w:rsidR="00E759F4" w:rsidRPr="006E04D7">
        <w:rPr>
          <w:rFonts w:ascii="Times New Roman" w:hAnsi="Times New Roman" w:cs="Times New Roman"/>
          <w:sz w:val="24"/>
          <w:szCs w:val="24"/>
        </w:rPr>
        <w:t>,</w:t>
      </w:r>
      <w:r w:rsidR="00677AB4" w:rsidRPr="006E04D7">
        <w:rPr>
          <w:rFonts w:ascii="Times New Roman" w:hAnsi="Times New Roman" w:cs="Times New Roman"/>
          <w:sz w:val="24"/>
          <w:szCs w:val="24"/>
        </w:rPr>
        <w:t xml:space="preserve"> the amount of NEI reported in the region is negligible.</w:t>
      </w:r>
    </w:p>
    <w:p w14:paraId="4484AF1F" w14:textId="77777777" w:rsidR="001A492E" w:rsidRPr="006E04D7" w:rsidRDefault="002D1FB2" w:rsidP="0085723A">
      <w:pPr>
        <w:keepNext/>
        <w:spacing w:line="360" w:lineRule="auto"/>
        <w:rPr>
          <w:rFonts w:ascii="Times New Roman" w:hAnsi="Times New Roman" w:cs="Times New Roman"/>
        </w:rPr>
      </w:pPr>
      <w:commentRangeStart w:id="1"/>
      <w:r w:rsidRPr="006E04D7">
        <w:rPr>
          <w:rFonts w:ascii="Times New Roman" w:hAnsi="Times New Roman" w:cs="Times New Roman"/>
          <w:noProof/>
          <w:lang w:eastAsia="en-GB"/>
        </w:rPr>
        <w:drawing>
          <wp:inline distT="0" distB="0" distL="0" distR="0" wp14:anchorId="2AC5B49B" wp14:editId="7DAE6D94">
            <wp:extent cx="5610860" cy="2838203"/>
            <wp:effectExtent l="0" t="0" r="8890"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commentRangeEnd w:id="1"/>
      <w:r w:rsidR="00C52DE0">
        <w:rPr>
          <w:rStyle w:val="CommentReference"/>
        </w:rPr>
        <w:commentReference w:id="1"/>
      </w:r>
    </w:p>
    <w:p w14:paraId="313F055D" w14:textId="3B9614D4" w:rsidR="00EA7C7D" w:rsidRPr="006E04D7" w:rsidRDefault="001A492E" w:rsidP="0085723A">
      <w:pPr>
        <w:pStyle w:val="Caption"/>
        <w:spacing w:line="360" w:lineRule="auto"/>
        <w:jc w:val="both"/>
        <w:rPr>
          <w:rFonts w:ascii="Times New Roman" w:hAnsi="Times New Roman" w:cs="Times New Roman"/>
          <w:sz w:val="24"/>
          <w:szCs w:val="24"/>
        </w:rPr>
      </w:pPr>
      <w:r w:rsidRPr="006E04D7">
        <w:rPr>
          <w:rFonts w:ascii="Times New Roman" w:hAnsi="Times New Roman" w:cs="Times New Roman"/>
        </w:rPr>
        <w:t xml:space="preserve">Figure </w:t>
      </w:r>
      <w:r w:rsidR="0009676B" w:rsidRPr="006E04D7">
        <w:rPr>
          <w:rFonts w:ascii="Times New Roman" w:hAnsi="Times New Roman" w:cs="Times New Roman"/>
        </w:rPr>
        <w:fldChar w:fldCharType="begin"/>
      </w:r>
      <w:r w:rsidR="0009676B" w:rsidRPr="006E04D7">
        <w:rPr>
          <w:rFonts w:ascii="Times New Roman" w:hAnsi="Times New Roman" w:cs="Times New Roman"/>
        </w:rPr>
        <w:instrText xml:space="preserve"> SEQ Figure \* ARABIC </w:instrText>
      </w:r>
      <w:r w:rsidR="0009676B" w:rsidRPr="006E04D7">
        <w:rPr>
          <w:rFonts w:ascii="Times New Roman" w:hAnsi="Times New Roman" w:cs="Times New Roman"/>
        </w:rPr>
        <w:fldChar w:fldCharType="separate"/>
      </w:r>
      <w:r w:rsidR="00563C86">
        <w:rPr>
          <w:rFonts w:ascii="Times New Roman" w:hAnsi="Times New Roman" w:cs="Times New Roman"/>
          <w:noProof/>
        </w:rPr>
        <w:t>6</w:t>
      </w:r>
      <w:r w:rsidR="0009676B" w:rsidRPr="006E04D7">
        <w:rPr>
          <w:rFonts w:ascii="Times New Roman" w:hAnsi="Times New Roman" w:cs="Times New Roman"/>
          <w:noProof/>
        </w:rPr>
        <w:fldChar w:fldCharType="end"/>
      </w:r>
      <w:r w:rsidRPr="006E04D7">
        <w:rPr>
          <w:rFonts w:ascii="Times New Roman" w:hAnsi="Times New Roman" w:cs="Times New Roman"/>
        </w:rPr>
        <w:t>: Total catch per country</w:t>
      </w:r>
      <w:r w:rsidR="00C52DE0">
        <w:rPr>
          <w:rFonts w:ascii="Times New Roman" w:hAnsi="Times New Roman" w:cs="Times New Roman"/>
        </w:rPr>
        <w:t xml:space="preserve"> </w:t>
      </w:r>
      <w:r w:rsidR="004D2FD2" w:rsidRPr="006E04D7">
        <w:rPr>
          <w:rFonts w:ascii="Times New Roman" w:hAnsi="Times New Roman" w:cs="Times New Roman"/>
        </w:rPr>
        <w:t>East Atlantic</w:t>
      </w:r>
    </w:p>
    <w:p w14:paraId="59BD971A" w14:textId="77777777" w:rsidR="003C173B" w:rsidRPr="006E04D7" w:rsidRDefault="008A46EF" w:rsidP="009E0552">
      <w:pPr>
        <w:pStyle w:val="Heading3"/>
        <w:ind w:left="1080"/>
        <w:rPr>
          <w:rFonts w:ascii="Times New Roman" w:hAnsi="Times New Roman" w:cs="Times New Roman"/>
        </w:rPr>
      </w:pPr>
      <w:r w:rsidRPr="006E04D7">
        <w:rPr>
          <w:rFonts w:ascii="Times New Roman" w:hAnsi="Times New Roman" w:cs="Times New Roman"/>
        </w:rPr>
        <w:t>West Atlantic</w:t>
      </w:r>
    </w:p>
    <w:p w14:paraId="595AA3E0" w14:textId="77777777" w:rsidR="005E12AF" w:rsidRPr="006E04D7" w:rsidRDefault="00C74CF7"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The West Atlantic region is comprised of countries including USA, Mexico, Canada, Japan,</w:t>
      </w:r>
      <w:r w:rsidR="00F53CD6" w:rsidRPr="006E04D7">
        <w:rPr>
          <w:rFonts w:ascii="Times New Roman" w:hAnsi="Times New Roman" w:cs="Times New Roman"/>
          <w:sz w:val="24"/>
          <w:szCs w:val="24"/>
        </w:rPr>
        <w:t xml:space="preserve"> Brazil, China Taipei, Cuba, </w:t>
      </w:r>
      <w:proofErr w:type="gramStart"/>
      <w:r w:rsidR="00F53CD6" w:rsidRPr="006E04D7">
        <w:rPr>
          <w:rFonts w:ascii="Times New Roman" w:hAnsi="Times New Roman" w:cs="Times New Roman"/>
          <w:sz w:val="24"/>
          <w:szCs w:val="24"/>
        </w:rPr>
        <w:t>France(</w:t>
      </w:r>
      <w:proofErr w:type="gramEnd"/>
      <w:r w:rsidR="00F53CD6" w:rsidRPr="006E04D7">
        <w:rPr>
          <w:rFonts w:ascii="Times New Roman" w:hAnsi="Times New Roman" w:cs="Times New Roman"/>
          <w:sz w:val="24"/>
          <w:szCs w:val="24"/>
        </w:rPr>
        <w:t xml:space="preserve">St Pierre et Miquelon), Korea, Panama, Sta Lucia, UK(Bermuda and Turks and </w:t>
      </w:r>
      <w:proofErr w:type="spellStart"/>
      <w:r w:rsidR="00F53CD6" w:rsidRPr="006E04D7">
        <w:rPr>
          <w:rFonts w:ascii="Times New Roman" w:hAnsi="Times New Roman" w:cs="Times New Roman"/>
          <w:sz w:val="24"/>
          <w:szCs w:val="24"/>
        </w:rPr>
        <w:t>Caico</w:t>
      </w:r>
      <w:proofErr w:type="spellEnd"/>
      <w:r w:rsidR="00F53CD6" w:rsidRPr="006E04D7">
        <w:rPr>
          <w:rFonts w:ascii="Times New Roman" w:hAnsi="Times New Roman" w:cs="Times New Roman"/>
          <w:sz w:val="24"/>
          <w:szCs w:val="24"/>
        </w:rPr>
        <w:t xml:space="preserve">). </w:t>
      </w:r>
      <w:r w:rsidRPr="006E04D7">
        <w:rPr>
          <w:rFonts w:ascii="Times New Roman" w:hAnsi="Times New Roman" w:cs="Times New Roman"/>
          <w:sz w:val="24"/>
          <w:szCs w:val="24"/>
        </w:rPr>
        <w:t xml:space="preserve"> </w:t>
      </w:r>
      <w:proofErr w:type="gramStart"/>
      <w:r w:rsidR="005E12AF" w:rsidRPr="006E04D7">
        <w:rPr>
          <w:rFonts w:ascii="Times New Roman" w:hAnsi="Times New Roman" w:cs="Times New Roman"/>
          <w:sz w:val="24"/>
          <w:szCs w:val="24"/>
        </w:rPr>
        <w:t>In  1998</w:t>
      </w:r>
      <w:proofErr w:type="gramEnd"/>
      <w:r w:rsidR="005E12AF" w:rsidRPr="006E04D7">
        <w:rPr>
          <w:rFonts w:ascii="Times New Roman" w:hAnsi="Times New Roman" w:cs="Times New Roman"/>
          <w:sz w:val="24"/>
          <w:szCs w:val="24"/>
        </w:rPr>
        <w:t>, the scientific committee of ICCAT announced the annual west Atlantic catch of 2500 tonnes is not sustainable and in order to restore the population to 1970s levels a near zero quota should be implemented. In a 2008 study</w:t>
      </w:r>
      <w:r w:rsidR="0085723A" w:rsidRPr="006E04D7">
        <w:rPr>
          <w:rFonts w:ascii="Times New Roman" w:hAnsi="Times New Roman" w:cs="Times New Roman"/>
          <w:sz w:val="24"/>
          <w:szCs w:val="24"/>
        </w:rPr>
        <w:t>,</w:t>
      </w:r>
      <w:r w:rsidR="005E12AF" w:rsidRPr="006E04D7">
        <w:rPr>
          <w:rFonts w:ascii="Times New Roman" w:hAnsi="Times New Roman" w:cs="Times New Roman"/>
          <w:sz w:val="24"/>
          <w:szCs w:val="24"/>
        </w:rPr>
        <w:t xml:space="preserve"> the collapse of the Western Atlantic Bluefin Tuna stock has been highlighted and the danger of extinction has </w:t>
      </w:r>
      <w:r w:rsidR="00D35290" w:rsidRPr="006E04D7">
        <w:rPr>
          <w:rFonts w:ascii="Times New Roman" w:hAnsi="Times New Roman" w:cs="Times New Roman"/>
          <w:sz w:val="24"/>
          <w:szCs w:val="24"/>
        </w:rPr>
        <w:t xml:space="preserve">been reported. Poor management </w:t>
      </w:r>
      <w:r w:rsidR="005E12AF" w:rsidRPr="006E04D7">
        <w:rPr>
          <w:rFonts w:ascii="Times New Roman" w:hAnsi="Times New Roman" w:cs="Times New Roman"/>
          <w:sz w:val="24"/>
          <w:szCs w:val="24"/>
        </w:rPr>
        <w:t xml:space="preserve">and over fishing of the species are accounted as the main reasons of this collapse </w:t>
      </w:r>
      <w:r w:rsidR="005E12AF" w:rsidRPr="006E04D7">
        <w:rPr>
          <w:rFonts w:ascii="Times New Roman" w:hAnsi="Times New Roman" w:cs="Times New Roman"/>
          <w:sz w:val="24"/>
          <w:szCs w:val="24"/>
        </w:rPr>
        <w:fldChar w:fldCharType="begin"/>
      </w:r>
      <w:r w:rsidR="00D6484C" w:rsidRPr="006E04D7">
        <w:rPr>
          <w:rFonts w:ascii="Times New Roman" w:hAnsi="Times New Roman" w:cs="Times New Roman"/>
          <w:sz w:val="24"/>
          <w:szCs w:val="24"/>
        </w:rPr>
        <w:instrText xml:space="preserve"> ADDIN EN.CITE &lt;EndNote&gt;&lt;Cite&gt;&lt;Author&gt;Safina&lt;/Author&gt;&lt;Year&gt;2008&lt;/Year&gt;&lt;RecNum&gt;284&lt;/RecNum&gt;&lt;DisplayText&gt;[22]&lt;/DisplayText&gt;&lt;record&gt;&lt;rec-number&gt;284&lt;/rec-number&gt;&lt;foreign-keys&gt;&lt;key app="EN" db-id="wffdwdt97adpw0eeedr5t2wbdwf5etardpas"&gt;284&lt;/key&gt;&lt;/foreign-keys&gt;&lt;ref-type name="Journal Article"&gt;17&lt;/ref-type&gt;&lt;contributors&gt;&lt;authors&gt;&lt;author&gt;Safina, C. &lt;/author&gt;&lt;author&gt;Klinger, D. H. &lt;/author&gt;&lt;/authors&gt;&lt;/contributors&gt;&lt;titles&gt;&lt;title&gt;Collapse of Bluefin Tuna in the Western Atlantic&lt;/title&gt;&lt;secondary-title&gt;Conservation Biology&lt;/secondary-title&gt;&lt;/titles&gt;&lt;periodical&gt;&lt;full-title&gt;Conservation Biology&lt;/full-title&gt;&lt;/periodical&gt;&lt;pages&gt;243-246&lt;/pages&gt;&lt;volume&gt;22&lt;/volume&gt;&lt;number&gt;2&lt;/number&gt;&lt;dates&gt;&lt;year&gt;2008&lt;/year&gt;&lt;/dates&gt;&lt;urls&gt;&lt;/urls&gt;&lt;/record&gt;&lt;/Cite&gt;&lt;/EndNote&gt;</w:instrText>
      </w:r>
      <w:r w:rsidR="005E12AF" w:rsidRPr="006E04D7">
        <w:rPr>
          <w:rFonts w:ascii="Times New Roman" w:hAnsi="Times New Roman" w:cs="Times New Roman"/>
          <w:sz w:val="24"/>
          <w:szCs w:val="24"/>
        </w:rPr>
        <w:fldChar w:fldCharType="separate"/>
      </w:r>
      <w:r w:rsidR="00D6484C" w:rsidRPr="006E04D7">
        <w:rPr>
          <w:rFonts w:ascii="Times New Roman" w:hAnsi="Times New Roman" w:cs="Times New Roman"/>
          <w:noProof/>
          <w:sz w:val="24"/>
          <w:szCs w:val="24"/>
        </w:rPr>
        <w:t>[</w:t>
      </w:r>
      <w:hyperlink w:anchor="_ENREF_22" w:tooltip="Safina, 2008 #284" w:history="1">
        <w:r w:rsidR="00CB2334" w:rsidRPr="006E04D7">
          <w:rPr>
            <w:rFonts w:ascii="Times New Roman" w:hAnsi="Times New Roman" w:cs="Times New Roman"/>
            <w:noProof/>
            <w:sz w:val="24"/>
            <w:szCs w:val="24"/>
          </w:rPr>
          <w:t>22</w:t>
        </w:r>
      </w:hyperlink>
      <w:r w:rsidR="00D6484C" w:rsidRPr="006E04D7">
        <w:rPr>
          <w:rFonts w:ascii="Times New Roman" w:hAnsi="Times New Roman" w:cs="Times New Roman"/>
          <w:noProof/>
          <w:sz w:val="24"/>
          <w:szCs w:val="24"/>
        </w:rPr>
        <w:t>]</w:t>
      </w:r>
      <w:r w:rsidR="005E12AF" w:rsidRPr="006E04D7">
        <w:rPr>
          <w:rFonts w:ascii="Times New Roman" w:hAnsi="Times New Roman" w:cs="Times New Roman"/>
          <w:sz w:val="24"/>
          <w:szCs w:val="24"/>
        </w:rPr>
        <w:fldChar w:fldCharType="end"/>
      </w:r>
      <w:r w:rsidR="005E12AF" w:rsidRPr="006E04D7">
        <w:rPr>
          <w:rFonts w:ascii="Times New Roman" w:hAnsi="Times New Roman" w:cs="Times New Roman"/>
          <w:sz w:val="24"/>
          <w:szCs w:val="24"/>
        </w:rPr>
        <w:t>. The study also suggests that the allowed Western area quota from year 2002 is 2700 Tonnes</w:t>
      </w:r>
      <w:r w:rsidR="00D35290" w:rsidRPr="006E04D7">
        <w:rPr>
          <w:rFonts w:ascii="Times New Roman" w:hAnsi="Times New Roman" w:cs="Times New Roman"/>
          <w:sz w:val="24"/>
          <w:szCs w:val="24"/>
        </w:rPr>
        <w:t>.</w:t>
      </w:r>
      <w:r w:rsidR="005E12AF" w:rsidRPr="006E04D7">
        <w:rPr>
          <w:rFonts w:ascii="Times New Roman" w:hAnsi="Times New Roman" w:cs="Times New Roman"/>
          <w:sz w:val="24"/>
          <w:szCs w:val="24"/>
        </w:rPr>
        <w:t xml:space="preserve"> </w:t>
      </w:r>
      <w:r w:rsidR="00D35290" w:rsidRPr="006E04D7">
        <w:rPr>
          <w:rFonts w:ascii="Times New Roman" w:hAnsi="Times New Roman" w:cs="Times New Roman"/>
          <w:sz w:val="24"/>
          <w:szCs w:val="24"/>
        </w:rPr>
        <w:t>T</w:t>
      </w:r>
      <w:r w:rsidR="005E12AF" w:rsidRPr="006E04D7">
        <w:rPr>
          <w:rFonts w:ascii="Times New Roman" w:hAnsi="Times New Roman" w:cs="Times New Roman"/>
          <w:sz w:val="24"/>
          <w:szCs w:val="24"/>
        </w:rPr>
        <w:t>he figures in the yearly chart</w:t>
      </w:r>
      <w:r w:rsidR="00CD31D3" w:rsidRPr="006E04D7">
        <w:rPr>
          <w:rFonts w:ascii="Times New Roman" w:hAnsi="Times New Roman" w:cs="Times New Roman"/>
          <w:sz w:val="24"/>
          <w:szCs w:val="24"/>
        </w:rPr>
        <w:t xml:space="preserve"> </w:t>
      </w:r>
      <w:r w:rsidR="00D35290" w:rsidRPr="006E04D7">
        <w:rPr>
          <w:rFonts w:ascii="Times New Roman" w:hAnsi="Times New Roman" w:cs="Times New Roman"/>
          <w:sz w:val="24"/>
          <w:szCs w:val="24"/>
        </w:rPr>
        <w:t>(Figure</w:t>
      </w:r>
      <w:r w:rsidR="00E875EB" w:rsidRPr="006E04D7">
        <w:rPr>
          <w:rFonts w:ascii="Times New Roman" w:hAnsi="Times New Roman" w:cs="Times New Roman"/>
          <w:sz w:val="24"/>
          <w:szCs w:val="24"/>
        </w:rPr>
        <w:t xml:space="preserve"> 8</w:t>
      </w:r>
      <w:r w:rsidR="00D35290" w:rsidRPr="006E04D7">
        <w:rPr>
          <w:rFonts w:ascii="Times New Roman" w:hAnsi="Times New Roman" w:cs="Times New Roman"/>
          <w:sz w:val="24"/>
          <w:szCs w:val="24"/>
        </w:rPr>
        <w:t>)</w:t>
      </w:r>
      <w:r w:rsidR="005E12AF" w:rsidRPr="006E04D7">
        <w:rPr>
          <w:rFonts w:ascii="Times New Roman" w:hAnsi="Times New Roman" w:cs="Times New Roman"/>
          <w:sz w:val="24"/>
          <w:szCs w:val="24"/>
        </w:rPr>
        <w:t xml:space="preserve"> show that the quota measure has been effective and that the yearly catch since 2003 has not exceeded th</w:t>
      </w:r>
      <w:r w:rsidR="00D35290" w:rsidRPr="006E04D7">
        <w:rPr>
          <w:rFonts w:ascii="Times New Roman" w:hAnsi="Times New Roman" w:cs="Times New Roman"/>
          <w:sz w:val="24"/>
          <w:szCs w:val="24"/>
        </w:rPr>
        <w:t>e recommended</w:t>
      </w:r>
      <w:r w:rsidR="005E12AF" w:rsidRPr="006E04D7">
        <w:rPr>
          <w:rFonts w:ascii="Times New Roman" w:hAnsi="Times New Roman" w:cs="Times New Roman"/>
          <w:sz w:val="24"/>
          <w:szCs w:val="24"/>
        </w:rPr>
        <w:t xml:space="preserve"> amount. Whether this is due to complying with the quota or </w:t>
      </w:r>
      <w:r w:rsidR="00D35290" w:rsidRPr="006E04D7">
        <w:rPr>
          <w:rFonts w:ascii="Times New Roman" w:hAnsi="Times New Roman" w:cs="Times New Roman"/>
          <w:sz w:val="24"/>
          <w:szCs w:val="24"/>
        </w:rPr>
        <w:t xml:space="preserve">due to </w:t>
      </w:r>
      <w:r w:rsidR="005E12AF" w:rsidRPr="006E04D7">
        <w:rPr>
          <w:rFonts w:ascii="Times New Roman" w:hAnsi="Times New Roman" w:cs="Times New Roman"/>
          <w:sz w:val="24"/>
          <w:szCs w:val="24"/>
        </w:rPr>
        <w:t>reduced stock of fish is not in the scope of this study, however figures suggest that since 2013 the total yearly catch has increased</w:t>
      </w:r>
      <w:r w:rsidR="00D35290" w:rsidRPr="006E04D7">
        <w:rPr>
          <w:rFonts w:ascii="Times New Roman" w:hAnsi="Times New Roman" w:cs="Times New Roman"/>
          <w:sz w:val="24"/>
          <w:szCs w:val="24"/>
        </w:rPr>
        <w:t xml:space="preserve"> which may signal partial stock recovery</w:t>
      </w:r>
      <w:r w:rsidR="005E12AF" w:rsidRPr="006E04D7">
        <w:rPr>
          <w:rFonts w:ascii="Times New Roman" w:hAnsi="Times New Roman" w:cs="Times New Roman"/>
          <w:sz w:val="24"/>
          <w:szCs w:val="24"/>
        </w:rPr>
        <w:t xml:space="preserve">. </w:t>
      </w:r>
    </w:p>
    <w:p w14:paraId="054DA3A4" w14:textId="77777777" w:rsidR="00C74CF7" w:rsidRPr="006E04D7" w:rsidRDefault="00D35290"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lastRenderedPageBreak/>
        <w:t>In terms of the gear type,</w:t>
      </w:r>
      <w:r w:rsidR="00092CEA" w:rsidRPr="006E04D7">
        <w:rPr>
          <w:rFonts w:ascii="Times New Roman" w:hAnsi="Times New Roman" w:cs="Times New Roman"/>
          <w:sz w:val="24"/>
          <w:szCs w:val="24"/>
        </w:rPr>
        <w:t xml:space="preserve"> </w:t>
      </w:r>
      <w:r w:rsidRPr="006E04D7">
        <w:rPr>
          <w:rFonts w:ascii="Times New Roman" w:hAnsi="Times New Roman" w:cs="Times New Roman"/>
          <w:sz w:val="24"/>
          <w:szCs w:val="24"/>
        </w:rPr>
        <w:t>t</w:t>
      </w:r>
      <w:r w:rsidR="00C74CF7" w:rsidRPr="006E04D7">
        <w:rPr>
          <w:rFonts w:ascii="Times New Roman" w:hAnsi="Times New Roman" w:cs="Times New Roman"/>
          <w:sz w:val="24"/>
          <w:szCs w:val="24"/>
        </w:rPr>
        <w:t>he RR method is the most common method in the West Atlantic region</w:t>
      </w:r>
      <w:r w:rsidR="005A3AAC" w:rsidRPr="006E04D7">
        <w:rPr>
          <w:rFonts w:ascii="Times New Roman" w:hAnsi="Times New Roman" w:cs="Times New Roman"/>
          <w:sz w:val="24"/>
          <w:szCs w:val="24"/>
        </w:rPr>
        <w:t xml:space="preserve"> with 52% of the total catch</w:t>
      </w:r>
      <w:r w:rsidR="00C74CF7" w:rsidRPr="006E04D7">
        <w:rPr>
          <w:rFonts w:ascii="Times New Roman" w:hAnsi="Times New Roman" w:cs="Times New Roman"/>
          <w:sz w:val="24"/>
          <w:szCs w:val="24"/>
        </w:rPr>
        <w:t xml:space="preserve">. </w:t>
      </w:r>
      <w:r w:rsidR="00204779" w:rsidRPr="006E04D7">
        <w:rPr>
          <w:rFonts w:ascii="Times New Roman" w:hAnsi="Times New Roman" w:cs="Times New Roman"/>
          <w:sz w:val="24"/>
          <w:szCs w:val="24"/>
        </w:rPr>
        <w:t xml:space="preserve">The proportion of fish caught by rod and reel is remarkable given that fish is caught one at a time in contrast to other methods such as purse seine, in which large nets allow for a much larger capture. </w:t>
      </w:r>
      <w:r w:rsidR="00CD31D3" w:rsidRPr="006E04D7">
        <w:rPr>
          <w:rFonts w:ascii="Times New Roman" w:hAnsi="Times New Roman" w:cs="Times New Roman"/>
          <w:sz w:val="24"/>
          <w:szCs w:val="24"/>
        </w:rPr>
        <w:t xml:space="preserve">The prevalence of small scale fishing such as </w:t>
      </w:r>
      <w:proofErr w:type="gramStart"/>
      <w:r w:rsidR="00CD31D3" w:rsidRPr="006E04D7">
        <w:rPr>
          <w:rFonts w:ascii="Times New Roman" w:hAnsi="Times New Roman" w:cs="Times New Roman"/>
          <w:sz w:val="24"/>
          <w:szCs w:val="24"/>
        </w:rPr>
        <w:t>RR,  may</w:t>
      </w:r>
      <w:proofErr w:type="gramEnd"/>
      <w:r w:rsidR="00CD31D3" w:rsidRPr="006E04D7">
        <w:rPr>
          <w:rFonts w:ascii="Times New Roman" w:hAnsi="Times New Roman" w:cs="Times New Roman"/>
          <w:sz w:val="24"/>
          <w:szCs w:val="24"/>
        </w:rPr>
        <w:t xml:space="preserve"> also be explained due to lower catch volumes and quotas in West Atlantic which would not economically justify the use of large scale vessels.</w:t>
      </w:r>
    </w:p>
    <w:p w14:paraId="0E8B8733" w14:textId="77777777" w:rsidR="001A492E" w:rsidRPr="006E04D7" w:rsidRDefault="00397416" w:rsidP="00092CEA">
      <w:pPr>
        <w:keepNext/>
        <w:spacing w:line="360" w:lineRule="auto"/>
        <w:jc w:val="both"/>
        <w:rPr>
          <w:rFonts w:ascii="Times New Roman" w:hAnsi="Times New Roman" w:cs="Times New Roman"/>
        </w:rPr>
      </w:pPr>
      <w:r w:rsidRPr="006E04D7">
        <w:rPr>
          <w:rFonts w:ascii="Times New Roman" w:hAnsi="Times New Roman" w:cs="Times New Roman"/>
          <w:noProof/>
          <w:sz w:val="24"/>
          <w:szCs w:val="24"/>
          <w:lang w:eastAsia="en-GB"/>
        </w:rPr>
        <w:drawing>
          <wp:inline distT="0" distB="0" distL="0" distR="0" wp14:anchorId="27AECDB7" wp14:editId="78169E33">
            <wp:extent cx="5652655" cy="3256915"/>
            <wp:effectExtent l="0" t="0" r="5715" b="6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CE60FC" w14:textId="77777777" w:rsidR="00397416" w:rsidRPr="006E04D7" w:rsidRDefault="001A492E" w:rsidP="00092CEA">
      <w:pPr>
        <w:pStyle w:val="Caption"/>
        <w:spacing w:line="360" w:lineRule="auto"/>
        <w:jc w:val="both"/>
        <w:rPr>
          <w:rFonts w:ascii="Times New Roman" w:hAnsi="Times New Roman" w:cs="Times New Roman"/>
          <w:sz w:val="24"/>
          <w:szCs w:val="24"/>
        </w:rPr>
      </w:pPr>
      <w:r w:rsidRPr="006E04D7">
        <w:rPr>
          <w:rFonts w:ascii="Times New Roman" w:hAnsi="Times New Roman" w:cs="Times New Roman"/>
        </w:rPr>
        <w:t xml:space="preserve">Figure </w:t>
      </w:r>
      <w:r w:rsidR="0009676B" w:rsidRPr="006E04D7">
        <w:rPr>
          <w:rFonts w:ascii="Times New Roman" w:hAnsi="Times New Roman" w:cs="Times New Roman"/>
        </w:rPr>
        <w:fldChar w:fldCharType="begin"/>
      </w:r>
      <w:r w:rsidR="0009676B" w:rsidRPr="006E04D7">
        <w:rPr>
          <w:rFonts w:ascii="Times New Roman" w:hAnsi="Times New Roman" w:cs="Times New Roman"/>
        </w:rPr>
        <w:instrText xml:space="preserve"> SEQ Figure \* ARABIC </w:instrText>
      </w:r>
      <w:r w:rsidR="0009676B" w:rsidRPr="006E04D7">
        <w:rPr>
          <w:rFonts w:ascii="Times New Roman" w:hAnsi="Times New Roman" w:cs="Times New Roman"/>
        </w:rPr>
        <w:fldChar w:fldCharType="separate"/>
      </w:r>
      <w:r w:rsidR="00563C86">
        <w:rPr>
          <w:rFonts w:ascii="Times New Roman" w:hAnsi="Times New Roman" w:cs="Times New Roman"/>
          <w:noProof/>
        </w:rPr>
        <w:t>7</w:t>
      </w:r>
      <w:r w:rsidR="0009676B" w:rsidRPr="006E04D7">
        <w:rPr>
          <w:rFonts w:ascii="Times New Roman" w:hAnsi="Times New Roman" w:cs="Times New Roman"/>
          <w:noProof/>
        </w:rPr>
        <w:fldChar w:fldCharType="end"/>
      </w:r>
      <w:r w:rsidRPr="006E04D7">
        <w:rPr>
          <w:rFonts w:ascii="Times New Roman" w:hAnsi="Times New Roman" w:cs="Times New Roman"/>
        </w:rPr>
        <w:t>: Catch per gear type- West Atlantic</w:t>
      </w:r>
    </w:p>
    <w:p w14:paraId="1D6B5288" w14:textId="77777777" w:rsidR="00DC5FA0" w:rsidRPr="006E04D7" w:rsidRDefault="0085723A"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T</w:t>
      </w:r>
      <w:r w:rsidR="00DC5FA0" w:rsidRPr="006E04D7">
        <w:rPr>
          <w:rFonts w:ascii="Times New Roman" w:hAnsi="Times New Roman" w:cs="Times New Roman"/>
          <w:sz w:val="24"/>
          <w:szCs w:val="24"/>
        </w:rPr>
        <w:t>he yearly total catch data shows that 2002 was the peak year in terms of the total catch while 2013 was the year with the lowest catch volume.</w:t>
      </w:r>
      <w:r w:rsidR="00E0683B" w:rsidRPr="006E04D7">
        <w:rPr>
          <w:rFonts w:ascii="Times New Roman" w:hAnsi="Times New Roman" w:cs="Times New Roman"/>
          <w:sz w:val="24"/>
          <w:szCs w:val="24"/>
        </w:rPr>
        <w:t xml:space="preserve"> </w:t>
      </w:r>
    </w:p>
    <w:p w14:paraId="3949DA9D" w14:textId="77777777" w:rsidR="001A492E" w:rsidRPr="006E04D7" w:rsidRDefault="00397416" w:rsidP="00092CEA">
      <w:pPr>
        <w:keepNext/>
        <w:spacing w:line="360" w:lineRule="auto"/>
        <w:jc w:val="both"/>
        <w:rPr>
          <w:rFonts w:ascii="Times New Roman" w:hAnsi="Times New Roman" w:cs="Times New Roman"/>
        </w:rPr>
      </w:pPr>
      <w:r w:rsidRPr="006E04D7">
        <w:rPr>
          <w:rFonts w:ascii="Times New Roman" w:hAnsi="Times New Roman" w:cs="Times New Roman"/>
          <w:noProof/>
          <w:sz w:val="24"/>
          <w:szCs w:val="24"/>
          <w:lang w:eastAsia="en-GB"/>
        </w:rPr>
        <w:lastRenderedPageBreak/>
        <w:drawing>
          <wp:inline distT="0" distB="0" distL="0" distR="0" wp14:anchorId="16BFF7A0" wp14:editId="5D8B7A95">
            <wp:extent cx="5588000" cy="3060700"/>
            <wp:effectExtent l="0" t="0" r="1270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547D25" w14:textId="77777777" w:rsidR="00397416" w:rsidRPr="006E04D7" w:rsidRDefault="001A492E" w:rsidP="00092CEA">
      <w:pPr>
        <w:pStyle w:val="Caption"/>
        <w:spacing w:line="360" w:lineRule="auto"/>
        <w:jc w:val="both"/>
        <w:rPr>
          <w:rFonts w:ascii="Times New Roman" w:hAnsi="Times New Roman" w:cs="Times New Roman"/>
          <w:sz w:val="24"/>
          <w:szCs w:val="24"/>
        </w:rPr>
      </w:pPr>
      <w:r w:rsidRPr="006E04D7">
        <w:rPr>
          <w:rFonts w:ascii="Times New Roman" w:hAnsi="Times New Roman" w:cs="Times New Roman"/>
        </w:rPr>
        <w:t xml:space="preserve">Figure </w:t>
      </w:r>
      <w:r w:rsidR="0009676B" w:rsidRPr="006E04D7">
        <w:rPr>
          <w:rFonts w:ascii="Times New Roman" w:hAnsi="Times New Roman" w:cs="Times New Roman"/>
        </w:rPr>
        <w:fldChar w:fldCharType="begin"/>
      </w:r>
      <w:r w:rsidR="0009676B" w:rsidRPr="006E04D7">
        <w:rPr>
          <w:rFonts w:ascii="Times New Roman" w:hAnsi="Times New Roman" w:cs="Times New Roman"/>
        </w:rPr>
        <w:instrText xml:space="preserve"> SEQ Figure \* ARABIC </w:instrText>
      </w:r>
      <w:r w:rsidR="0009676B" w:rsidRPr="006E04D7">
        <w:rPr>
          <w:rFonts w:ascii="Times New Roman" w:hAnsi="Times New Roman" w:cs="Times New Roman"/>
        </w:rPr>
        <w:fldChar w:fldCharType="separate"/>
      </w:r>
      <w:r w:rsidR="00563C86">
        <w:rPr>
          <w:rFonts w:ascii="Times New Roman" w:hAnsi="Times New Roman" w:cs="Times New Roman"/>
          <w:noProof/>
        </w:rPr>
        <w:t>8</w:t>
      </w:r>
      <w:r w:rsidR="0009676B" w:rsidRPr="006E04D7">
        <w:rPr>
          <w:rFonts w:ascii="Times New Roman" w:hAnsi="Times New Roman" w:cs="Times New Roman"/>
          <w:noProof/>
        </w:rPr>
        <w:fldChar w:fldCharType="end"/>
      </w:r>
      <w:r w:rsidRPr="006E04D7">
        <w:rPr>
          <w:rFonts w:ascii="Times New Roman" w:hAnsi="Times New Roman" w:cs="Times New Roman"/>
        </w:rPr>
        <w:t>: Total yearly catch-West Atlantic</w:t>
      </w:r>
    </w:p>
    <w:p w14:paraId="0151D28E" w14:textId="77777777" w:rsidR="003C173B" w:rsidRPr="006E04D7" w:rsidRDefault="00DC5FA0"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 xml:space="preserve">The region is dominated by the USA fleet while the UK Turks and </w:t>
      </w:r>
      <w:proofErr w:type="spellStart"/>
      <w:r w:rsidRPr="006E04D7">
        <w:rPr>
          <w:rFonts w:ascii="Times New Roman" w:hAnsi="Times New Roman" w:cs="Times New Roman"/>
          <w:sz w:val="24"/>
          <w:szCs w:val="24"/>
        </w:rPr>
        <w:t>Caico</w:t>
      </w:r>
      <w:proofErr w:type="spellEnd"/>
      <w:r w:rsidRPr="006E04D7">
        <w:rPr>
          <w:rFonts w:ascii="Times New Roman" w:hAnsi="Times New Roman" w:cs="Times New Roman"/>
          <w:sz w:val="24"/>
          <w:szCs w:val="24"/>
        </w:rPr>
        <w:t xml:space="preserve"> Island has the least amount of catch.</w:t>
      </w:r>
    </w:p>
    <w:p w14:paraId="3B074A75" w14:textId="77777777" w:rsidR="001A492E" w:rsidRPr="006E04D7" w:rsidRDefault="00397416" w:rsidP="00092CEA">
      <w:pPr>
        <w:keepNext/>
        <w:spacing w:line="360" w:lineRule="auto"/>
        <w:jc w:val="both"/>
        <w:rPr>
          <w:rFonts w:ascii="Times New Roman" w:hAnsi="Times New Roman" w:cs="Times New Roman"/>
        </w:rPr>
      </w:pPr>
      <w:r w:rsidRPr="006E04D7">
        <w:rPr>
          <w:rFonts w:ascii="Times New Roman" w:hAnsi="Times New Roman" w:cs="Times New Roman"/>
          <w:noProof/>
          <w:sz w:val="24"/>
          <w:szCs w:val="24"/>
          <w:lang w:eastAsia="en-GB"/>
        </w:rPr>
        <w:drawing>
          <wp:inline distT="0" distB="0" distL="0" distR="0" wp14:anchorId="4AEA8E94" wp14:editId="236CA58D">
            <wp:extent cx="5435600" cy="3178175"/>
            <wp:effectExtent l="0" t="0" r="12700" b="31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C03F2D" w14:textId="068ECC93" w:rsidR="003C173B" w:rsidRDefault="001A492E" w:rsidP="00092CEA">
      <w:pPr>
        <w:pStyle w:val="Caption"/>
        <w:spacing w:line="360" w:lineRule="auto"/>
        <w:jc w:val="both"/>
        <w:rPr>
          <w:rFonts w:ascii="Times New Roman" w:hAnsi="Times New Roman" w:cs="Times New Roman"/>
        </w:rPr>
      </w:pPr>
      <w:r w:rsidRPr="006E04D7">
        <w:rPr>
          <w:rFonts w:ascii="Times New Roman" w:hAnsi="Times New Roman" w:cs="Times New Roman"/>
        </w:rPr>
        <w:t xml:space="preserve">Figure </w:t>
      </w:r>
      <w:r w:rsidR="0009676B" w:rsidRPr="006E04D7">
        <w:rPr>
          <w:rFonts w:ascii="Times New Roman" w:hAnsi="Times New Roman" w:cs="Times New Roman"/>
        </w:rPr>
        <w:fldChar w:fldCharType="begin"/>
      </w:r>
      <w:r w:rsidR="0009676B" w:rsidRPr="006E04D7">
        <w:rPr>
          <w:rFonts w:ascii="Times New Roman" w:hAnsi="Times New Roman" w:cs="Times New Roman"/>
        </w:rPr>
        <w:instrText xml:space="preserve"> SEQ Figure \* ARABIC </w:instrText>
      </w:r>
      <w:r w:rsidR="0009676B" w:rsidRPr="006E04D7">
        <w:rPr>
          <w:rFonts w:ascii="Times New Roman" w:hAnsi="Times New Roman" w:cs="Times New Roman"/>
        </w:rPr>
        <w:fldChar w:fldCharType="separate"/>
      </w:r>
      <w:r w:rsidR="00563C86">
        <w:rPr>
          <w:rFonts w:ascii="Times New Roman" w:hAnsi="Times New Roman" w:cs="Times New Roman"/>
          <w:noProof/>
        </w:rPr>
        <w:t>9</w:t>
      </w:r>
      <w:r w:rsidR="0009676B" w:rsidRPr="006E04D7">
        <w:rPr>
          <w:rFonts w:ascii="Times New Roman" w:hAnsi="Times New Roman" w:cs="Times New Roman"/>
          <w:noProof/>
        </w:rPr>
        <w:fldChar w:fldCharType="end"/>
      </w:r>
      <w:r w:rsidRPr="006E04D7">
        <w:rPr>
          <w:rFonts w:ascii="Times New Roman" w:hAnsi="Times New Roman" w:cs="Times New Roman"/>
        </w:rPr>
        <w:t>: Total catch by country- West Atlantic</w:t>
      </w:r>
    </w:p>
    <w:p w14:paraId="65DFFEDF" w14:textId="77777777" w:rsidR="009362CA" w:rsidRDefault="009362CA" w:rsidP="009362CA">
      <w:pPr>
        <w:pStyle w:val="Heading2"/>
        <w:numPr>
          <w:ilvl w:val="1"/>
          <w:numId w:val="4"/>
        </w:numPr>
      </w:pPr>
      <w:r>
        <w:lastRenderedPageBreak/>
        <w:t>Management</w:t>
      </w:r>
    </w:p>
    <w:p w14:paraId="5D41AD51" w14:textId="77777777" w:rsidR="009362CA" w:rsidRPr="006E04D7" w:rsidRDefault="009362CA" w:rsidP="009362CA">
      <w:pPr>
        <w:spacing w:line="360" w:lineRule="auto"/>
        <w:jc w:val="both"/>
        <w:rPr>
          <w:rFonts w:ascii="Times New Roman" w:hAnsi="Times New Roman" w:cs="Times New Roman"/>
          <w:sz w:val="24"/>
          <w:szCs w:val="24"/>
        </w:rPr>
      </w:pPr>
      <w:r>
        <w:rPr>
          <w:rFonts w:ascii="Times New Roman" w:hAnsi="Times New Roman" w:cs="Times New Roman"/>
          <w:sz w:val="24"/>
          <w:szCs w:val="24"/>
        </w:rPr>
        <w:t>Bluefin</w:t>
      </w:r>
      <w:r w:rsidRPr="006E04D7">
        <w:rPr>
          <w:rFonts w:ascii="Times New Roman" w:hAnsi="Times New Roman" w:cs="Times New Roman"/>
          <w:sz w:val="24"/>
          <w:szCs w:val="24"/>
        </w:rPr>
        <w:t xml:space="preserve"> tuna is managed by the international commission for the conservation of Atlantic Tunas (ICCAT) that manages the species in two stocks of western and eastern with the boundary set in 45° W meridian. However the Biomass in the Eastern part is much larger compared to the western region </w:t>
      </w:r>
      <w:r w:rsidRPr="006E04D7">
        <w:rPr>
          <w:rFonts w:ascii="Times New Roman" w:hAnsi="Times New Roman" w:cs="Times New Roman"/>
          <w:sz w:val="24"/>
          <w:szCs w:val="24"/>
        </w:rPr>
        <w:fldChar w:fldCharType="begin"/>
      </w:r>
      <w:r w:rsidRPr="006E04D7">
        <w:rPr>
          <w:rFonts w:ascii="Times New Roman" w:hAnsi="Times New Roman" w:cs="Times New Roman"/>
          <w:sz w:val="24"/>
          <w:szCs w:val="24"/>
        </w:rPr>
        <w:instrText xml:space="preserve"> ADDIN EN.CITE &lt;EndNote&gt;&lt;Cite&gt;&lt;Author&gt;Kerr&lt;/Author&gt;&lt;Year&gt;2020&lt;/Year&gt;&lt;RecNum&gt;292&lt;/RecNum&gt;&lt;DisplayText&gt;[13]&lt;/DisplayText&gt;&lt;record&gt;&lt;rec-number&gt;292&lt;/rec-number&gt;&lt;foreign-keys&gt;&lt;key app="EN" db-id="wffdwdt97adpw0eeedr5t2wbdwf5etardpas"&gt;292&lt;/key&gt;&lt;/foreign-keys&gt;&lt;ref-type name="Journal Article"&gt;17&lt;/ref-type&gt;&lt;contributors&gt;&lt;authors&gt;&lt;author&gt;Kerr, L.A. &lt;/author&gt;&lt;author&gt;Whitener, Z.T.&lt;/author&gt;&lt;author&gt;Cadrin, S. X. &lt;/author&gt;&lt;author&gt;Morse, M.R. &lt;/author&gt;&lt;author&gt;Secor, D.H. &lt;/author&gt;&lt;author&gt;Golet, W.&lt;/author&gt;&lt;/authors&gt;&lt;/contributors&gt;&lt;titles&gt;&lt;title&gt;Mixed stock origin of Atlantic bluefin tuna in the U.S. rod and reel fishery (Gulf of Maine) and implications for fisheries management&lt;/title&gt;&lt;secondary-title&gt;Fisheries Research&lt;/secondary-title&gt;&lt;/titles&gt;&lt;periodical&gt;&lt;full-title&gt;Fisheries Research&lt;/full-title&gt;&lt;/periodical&gt;&lt;volume&gt;224&lt;/volume&gt;&lt;dates&gt;&lt;year&gt;2020&lt;/year&gt;&lt;/dates&gt;&lt;urls&gt;&lt;/urls&gt;&lt;/record&gt;&lt;/Cite&gt;&lt;/EndNote&gt;</w:instrText>
      </w:r>
      <w:r w:rsidRPr="006E04D7">
        <w:rPr>
          <w:rFonts w:ascii="Times New Roman" w:hAnsi="Times New Roman" w:cs="Times New Roman"/>
          <w:sz w:val="24"/>
          <w:szCs w:val="24"/>
        </w:rPr>
        <w:fldChar w:fldCharType="separate"/>
      </w:r>
      <w:r w:rsidRPr="006E04D7">
        <w:rPr>
          <w:rFonts w:ascii="Times New Roman" w:hAnsi="Times New Roman" w:cs="Times New Roman"/>
          <w:noProof/>
          <w:sz w:val="24"/>
          <w:szCs w:val="24"/>
        </w:rPr>
        <w:t>[</w:t>
      </w:r>
      <w:hyperlink w:anchor="_ENREF_13" w:tooltip="Kerr, 2020 #292" w:history="1">
        <w:r w:rsidRPr="006E04D7">
          <w:rPr>
            <w:rFonts w:ascii="Times New Roman" w:hAnsi="Times New Roman" w:cs="Times New Roman"/>
            <w:noProof/>
            <w:sz w:val="24"/>
            <w:szCs w:val="24"/>
          </w:rPr>
          <w:t>13</w:t>
        </w:r>
      </w:hyperlink>
      <w:r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The ICCAT, was established in 1966 in Rio de Janeiro in response to the International concern over the sustainability of tuna population and is comprised of 53 contracting party countries (CPC) around the world as in 2019. Amongst the most important responsibilities of ICCAT is the agreement on annual quota allocation to each member based on a body of scientific and management data on trade and fishing activities.  These quotas are agreed based on </w:t>
      </w:r>
      <w:proofErr w:type="spellStart"/>
      <w:r w:rsidRPr="006E04D7">
        <w:rPr>
          <w:rFonts w:ascii="Times New Roman" w:hAnsi="Times New Roman" w:cs="Times New Roman"/>
          <w:sz w:val="24"/>
          <w:szCs w:val="24"/>
        </w:rPr>
        <w:t>i</w:t>
      </w:r>
      <w:proofErr w:type="spellEnd"/>
      <w:r w:rsidRPr="006E04D7">
        <w:rPr>
          <w:rFonts w:ascii="Times New Roman" w:hAnsi="Times New Roman" w:cs="Times New Roman"/>
          <w:sz w:val="24"/>
          <w:szCs w:val="24"/>
        </w:rPr>
        <w:t xml:space="preserve">)historical and present fishing practices ii)status of the fish stock, including distribution and biology iii)relative commercial dependence on stocks by local coastal communities iv)past record of compliance with and contribution to ICCAT measures </w:t>
      </w:r>
      <w:r w:rsidRPr="006E04D7">
        <w:rPr>
          <w:rFonts w:ascii="Times New Roman" w:hAnsi="Times New Roman" w:cs="Times New Roman"/>
          <w:sz w:val="24"/>
          <w:szCs w:val="24"/>
        </w:rPr>
        <w:fldChar w:fldCharType="begin"/>
      </w:r>
      <w:r w:rsidRPr="006E04D7">
        <w:rPr>
          <w:rFonts w:ascii="Times New Roman" w:hAnsi="Times New Roman" w:cs="Times New Roman"/>
          <w:sz w:val="24"/>
          <w:szCs w:val="24"/>
        </w:rPr>
        <w:instrText xml:space="preserve"> ADDIN EN.CITE &lt;EndNote&gt;&lt;Cite&gt;&lt;Author&gt;Heffernan&lt;/Author&gt;&lt;Year&gt;2014&lt;/Year&gt;&lt;RecNum&gt;288&lt;/RecNum&gt;&lt;DisplayText&gt;[14]&lt;/DisplayText&gt;&lt;record&gt;&lt;rec-number&gt;288&lt;/rec-number&gt;&lt;foreign-keys&gt;&lt;key app="EN" db-id="wffdwdt97adpw0eeedr5t2wbdwf5etardpas"&gt;288&lt;/key&gt;&lt;/foreign-keys&gt;&lt;ref-type name="Journal Article"&gt;17&lt;/ref-type&gt;&lt;contributors&gt;&lt;authors&gt;&lt;author&gt;Heffernan, J. P. &lt;/author&gt;&lt;/authors&gt;&lt;/contributors&gt;&lt;titles&gt;&lt;title&gt;Dealing with Mediterranean bluefin tuna: A study in international environmental management&lt;/title&gt;&lt;secondary-title&gt;Marine Policy&lt;/secondary-title&gt;&lt;/titles&gt;&lt;periodical&gt;&lt;full-title&gt;Marine Policy&lt;/full-title&gt;&lt;/periodical&gt;&lt;pages&gt;81-88&lt;/pages&gt;&lt;volume&gt;50&lt;/volume&gt;&lt;dates&gt;&lt;year&gt;2014&lt;/year&gt;&lt;/dates&gt;&lt;urls&gt;&lt;/urls&gt;&lt;/record&gt;&lt;/Cite&gt;&lt;/EndNote&gt;</w:instrText>
      </w:r>
      <w:r w:rsidRPr="006E04D7">
        <w:rPr>
          <w:rFonts w:ascii="Times New Roman" w:hAnsi="Times New Roman" w:cs="Times New Roman"/>
          <w:sz w:val="24"/>
          <w:szCs w:val="24"/>
        </w:rPr>
        <w:fldChar w:fldCharType="separate"/>
      </w:r>
      <w:r w:rsidRPr="006E04D7">
        <w:rPr>
          <w:rFonts w:ascii="Times New Roman" w:hAnsi="Times New Roman" w:cs="Times New Roman"/>
          <w:noProof/>
          <w:sz w:val="24"/>
          <w:szCs w:val="24"/>
        </w:rPr>
        <w:t>[</w:t>
      </w:r>
      <w:hyperlink w:anchor="_ENREF_14" w:tooltip="Heffernan, 2014 #288" w:history="1">
        <w:r w:rsidRPr="006E04D7">
          <w:rPr>
            <w:rFonts w:ascii="Times New Roman" w:hAnsi="Times New Roman" w:cs="Times New Roman"/>
            <w:noProof/>
            <w:sz w:val="24"/>
            <w:szCs w:val="24"/>
          </w:rPr>
          <w:t>14</w:t>
        </w:r>
      </w:hyperlink>
      <w:r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w:t>
      </w:r>
    </w:p>
    <w:p w14:paraId="3BA2E361" w14:textId="77777777" w:rsidR="009362CA" w:rsidRPr="006E04D7" w:rsidRDefault="009362CA" w:rsidP="009362C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 xml:space="preserve">In a 2006 ICCAT report </w:t>
      </w:r>
      <w:r w:rsidRPr="006E04D7">
        <w:rPr>
          <w:rFonts w:ascii="Times New Roman" w:hAnsi="Times New Roman" w:cs="Times New Roman"/>
          <w:sz w:val="24"/>
          <w:szCs w:val="24"/>
        </w:rPr>
        <w:fldChar w:fldCharType="begin"/>
      </w:r>
      <w:r w:rsidRPr="006E04D7">
        <w:rPr>
          <w:rFonts w:ascii="Times New Roman" w:hAnsi="Times New Roman" w:cs="Times New Roman"/>
          <w:sz w:val="24"/>
          <w:szCs w:val="24"/>
        </w:rPr>
        <w:instrText xml:space="preserve"> ADDIN EN.CITE &lt;EndNote&gt;&lt;Cite&gt;&lt;Author&gt;ICCAT&lt;/Author&gt;&lt;Year&gt;2007&lt;/Year&gt;&lt;RecNum&gt;270&lt;/RecNum&gt;&lt;DisplayText&gt;[15]&lt;/DisplayText&gt;&lt;record&gt;&lt;rec-number&gt;270&lt;/rec-number&gt;&lt;foreign-keys&gt;&lt;key app="EN" db-id="wffdwdt97adpw0eeedr5t2wbdwf5etardpas"&gt;270&lt;/key&gt;&lt;/foreign-keys&gt;&lt;ref-type name="Journal Article"&gt;17&lt;/ref-type&gt;&lt;contributors&gt;&lt;authors&gt;&lt;author&gt;ICCAT&lt;/author&gt;&lt;/authors&gt;&lt;/contributors&gt;&lt;titles&gt;&lt;title&gt;Report of the 2006 Atlantic Blue fin Tuna Stock Assessment Session&lt;/title&gt;&lt;secondary-title&gt;Collective Volume of Scientific Papers&lt;/secondary-title&gt;&lt;/titles&gt;&lt;periodical&gt;&lt;full-title&gt;Collective Volume of Scientific Papers&lt;/full-title&gt;&lt;/periodical&gt;&lt;pages&gt; &lt;/pages&gt;&lt;dates&gt;&lt;year&gt;2007&lt;/year&gt;&lt;/dates&gt;&lt;urls&gt;&lt;/urls&gt;&lt;/record&gt;&lt;/Cite&gt;&lt;/EndNote&gt;</w:instrText>
      </w:r>
      <w:r w:rsidRPr="006E04D7">
        <w:rPr>
          <w:rFonts w:ascii="Times New Roman" w:hAnsi="Times New Roman" w:cs="Times New Roman"/>
          <w:sz w:val="24"/>
          <w:szCs w:val="24"/>
        </w:rPr>
        <w:fldChar w:fldCharType="separate"/>
      </w:r>
      <w:r w:rsidRPr="006E04D7">
        <w:rPr>
          <w:rFonts w:ascii="Times New Roman" w:hAnsi="Times New Roman" w:cs="Times New Roman"/>
          <w:noProof/>
          <w:sz w:val="24"/>
          <w:szCs w:val="24"/>
        </w:rPr>
        <w:t>[</w:t>
      </w:r>
      <w:hyperlink w:anchor="_ENREF_15" w:tooltip="ICCAT, 2007 #270" w:history="1">
        <w:r w:rsidRPr="006E04D7">
          <w:rPr>
            <w:rFonts w:ascii="Times New Roman" w:hAnsi="Times New Roman" w:cs="Times New Roman"/>
            <w:noProof/>
            <w:sz w:val="24"/>
            <w:szCs w:val="24"/>
          </w:rPr>
          <w:t>15</w:t>
        </w:r>
      </w:hyperlink>
      <w:r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the overfishing and overexploitation of the stocks indicated substantial risk of population collapse, however, in 2014, the urgent management actions significantly improved the status of the population.  The stock assessment has been improved by using outstanding technological development of electronic tags capable of providing insight into the habitat preference, migration patterns, stock structure and reproductive behaviour of the BFT.</w:t>
      </w:r>
    </w:p>
    <w:p w14:paraId="72F9C9BD" w14:textId="77777777" w:rsidR="009362CA" w:rsidRPr="006E04D7" w:rsidRDefault="009362CA" w:rsidP="009362C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 xml:space="preserve">It should be noted that although ICCAT is the main regulator of the Tuna sector, individual CPCs have also taken measures against the over exploitation of BFT. Given that the Atlantic BFT is recognised as an endangered species by the International Union for conservation for nature (IUCN) Red List as this stock remains overfished, in the European marine area, the management of the Eastern Atlantic stock is essential to the future of the species. </w:t>
      </w:r>
    </w:p>
    <w:p w14:paraId="73BD5F21" w14:textId="77777777" w:rsidR="009362CA" w:rsidRPr="006E04D7" w:rsidRDefault="009362CA" w:rsidP="009362C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 xml:space="preserve">For example, as an ICCAT member, the United Kingdom has prohibited the catch or target of the Bluefin Tuna in its waters for commercial and recreational vessels and there </w:t>
      </w:r>
      <w:proofErr w:type="gramStart"/>
      <w:r w:rsidRPr="006E04D7">
        <w:rPr>
          <w:rFonts w:ascii="Times New Roman" w:hAnsi="Times New Roman" w:cs="Times New Roman"/>
          <w:sz w:val="24"/>
          <w:szCs w:val="24"/>
        </w:rPr>
        <w:t>are</w:t>
      </w:r>
      <w:proofErr w:type="gramEnd"/>
      <w:r w:rsidRPr="006E04D7">
        <w:rPr>
          <w:rFonts w:ascii="Times New Roman" w:hAnsi="Times New Roman" w:cs="Times New Roman"/>
          <w:sz w:val="24"/>
          <w:szCs w:val="24"/>
        </w:rPr>
        <w:t xml:space="preserve"> no specific quota to catch Bluefin tuna since it is a prohibited species for UK registered commercial fishing vessels. If the species is caught as a by-catch it must be returned to the sea, alive and unharmed to the greatest extent possible. If the fish is dead then it should be landed and may be donated for scientific research, and it may not be sold </w:t>
      </w:r>
      <w:r w:rsidRPr="006E04D7">
        <w:rPr>
          <w:rFonts w:ascii="Times New Roman" w:hAnsi="Times New Roman" w:cs="Times New Roman"/>
          <w:sz w:val="24"/>
          <w:szCs w:val="24"/>
        </w:rPr>
        <w:fldChar w:fldCharType="begin"/>
      </w:r>
      <w:r w:rsidRPr="006E04D7">
        <w:rPr>
          <w:rFonts w:ascii="Times New Roman" w:hAnsi="Times New Roman" w:cs="Times New Roman"/>
          <w:sz w:val="24"/>
          <w:szCs w:val="24"/>
        </w:rPr>
        <w:instrText xml:space="preserve"> ADDIN EN.CITE &lt;EndNote&gt;&lt;Cite&gt;&lt;Year&gt;2019&lt;/Year&gt;&lt;RecNum&gt;276&lt;/RecNum&gt;&lt;DisplayText&gt;[16]&lt;/DisplayText&gt;&lt;record&gt;&lt;rec-number&gt;276&lt;/rec-number&gt;&lt;foreign-keys&gt;&lt;key app="EN" db-id="wffdwdt97adpw0eeedr5t2wbdwf5etardpas"&gt;276&lt;/key&gt;&lt;/foreign-keys&gt;&lt;ref-type name="Web Page"&gt;12&lt;/ref-type&gt;&lt;contributors&gt;&lt;secondary-authors&gt;&lt;author&gt;Marine Management Organisation&lt;/author&gt;&lt;/secondary-authors&gt;&lt;/contributors&gt;&lt;titles&gt;&lt;title&gt;Mairne developments&amp;#xD;&lt;/title&gt;&lt;/titles&gt;&lt;dates&gt;&lt;year&gt;2019&lt;/year&gt;&lt;/dates&gt;&lt;urls&gt;&lt;related-urls&gt;&lt;url&gt;https://marinedevelopments.blog.gov.uk/2019/01/11/what-is-the-landing-obligation-discards-ban/&lt;/url&gt;&lt;/related-urls&gt;&lt;/urls&gt;&lt;/record&gt;&lt;/Cite&gt;&lt;/EndNote&gt;</w:instrText>
      </w:r>
      <w:r w:rsidRPr="006E04D7">
        <w:rPr>
          <w:rFonts w:ascii="Times New Roman" w:hAnsi="Times New Roman" w:cs="Times New Roman"/>
          <w:sz w:val="24"/>
          <w:szCs w:val="24"/>
        </w:rPr>
        <w:fldChar w:fldCharType="separate"/>
      </w:r>
      <w:r w:rsidRPr="006E04D7">
        <w:rPr>
          <w:rFonts w:ascii="Times New Roman" w:hAnsi="Times New Roman" w:cs="Times New Roman"/>
          <w:noProof/>
          <w:sz w:val="24"/>
          <w:szCs w:val="24"/>
        </w:rPr>
        <w:t>[</w:t>
      </w:r>
      <w:hyperlink w:anchor="_ENREF_16" w:tooltip=", 2019 #276" w:history="1">
        <w:r w:rsidRPr="006E04D7">
          <w:rPr>
            <w:rFonts w:ascii="Times New Roman" w:hAnsi="Times New Roman" w:cs="Times New Roman"/>
            <w:noProof/>
            <w:sz w:val="24"/>
            <w:szCs w:val="24"/>
          </w:rPr>
          <w:t>16</w:t>
        </w:r>
      </w:hyperlink>
      <w:r w:rsidRPr="006E04D7">
        <w:rPr>
          <w:rFonts w:ascii="Times New Roman" w:hAnsi="Times New Roman" w:cs="Times New Roman"/>
          <w:noProof/>
          <w:sz w:val="24"/>
          <w:szCs w:val="24"/>
        </w:rPr>
        <w:t>]</w:t>
      </w:r>
      <w:r w:rsidRPr="006E04D7">
        <w:rPr>
          <w:rFonts w:ascii="Times New Roman" w:hAnsi="Times New Roman" w:cs="Times New Roman"/>
          <w:sz w:val="24"/>
          <w:szCs w:val="24"/>
        </w:rPr>
        <w:fldChar w:fldCharType="end"/>
      </w:r>
      <w:r w:rsidRPr="006E04D7">
        <w:rPr>
          <w:rFonts w:ascii="Times New Roman" w:hAnsi="Times New Roman" w:cs="Times New Roman"/>
          <w:sz w:val="24"/>
          <w:szCs w:val="24"/>
        </w:rPr>
        <w:t xml:space="preserve">. </w:t>
      </w:r>
    </w:p>
    <w:p w14:paraId="67446A07" w14:textId="301795BC" w:rsidR="004D3DA3" w:rsidRPr="006E04D7" w:rsidRDefault="009362CA" w:rsidP="009362CA">
      <w:pPr>
        <w:pStyle w:val="Heading1"/>
      </w:pPr>
      <w:r>
        <w:lastRenderedPageBreak/>
        <w:t xml:space="preserve">Economic analysis </w:t>
      </w:r>
    </w:p>
    <w:p w14:paraId="46A46FBA" w14:textId="77777777" w:rsidR="004D3DA3" w:rsidRPr="006E04D7" w:rsidRDefault="005649AC" w:rsidP="0085723A">
      <w:pPr>
        <w:spacing w:line="360" w:lineRule="auto"/>
        <w:jc w:val="both"/>
        <w:rPr>
          <w:rFonts w:ascii="Times New Roman" w:hAnsi="Times New Roman" w:cs="Times New Roman"/>
        </w:rPr>
      </w:pPr>
      <w:r w:rsidRPr="006E04D7">
        <w:rPr>
          <w:rFonts w:ascii="Times New Roman" w:hAnsi="Times New Roman" w:cs="Times New Roman"/>
        </w:rPr>
        <w:t>T</w:t>
      </w:r>
      <w:r w:rsidR="00E759F4" w:rsidRPr="006E04D7">
        <w:rPr>
          <w:rFonts w:ascii="Times New Roman" w:hAnsi="Times New Roman" w:cs="Times New Roman"/>
        </w:rPr>
        <w:t>o</w:t>
      </w:r>
      <w:r w:rsidRPr="006E04D7">
        <w:rPr>
          <w:rFonts w:ascii="Times New Roman" w:hAnsi="Times New Roman" w:cs="Times New Roman"/>
        </w:rPr>
        <w:t xml:space="preserve"> verify if the data for the three regions under consideration in this study contain statistically significant trend, the T-test and the Mann-</w:t>
      </w:r>
      <w:r w:rsidR="00E759F4" w:rsidRPr="006E04D7">
        <w:rPr>
          <w:rFonts w:ascii="Times New Roman" w:hAnsi="Times New Roman" w:cs="Times New Roman"/>
        </w:rPr>
        <w:t>Whitney</w:t>
      </w:r>
      <w:r w:rsidRPr="006E04D7">
        <w:rPr>
          <w:rFonts w:ascii="Times New Roman" w:hAnsi="Times New Roman" w:cs="Times New Roman"/>
        </w:rPr>
        <w:t xml:space="preserve"> tests are conducted. In the first step, </w:t>
      </w:r>
      <w:proofErr w:type="gramStart"/>
      <w:r w:rsidR="004D3DA3" w:rsidRPr="006E04D7">
        <w:rPr>
          <w:rFonts w:ascii="Times New Roman" w:hAnsi="Times New Roman" w:cs="Times New Roman"/>
        </w:rPr>
        <w:t>In</w:t>
      </w:r>
      <w:proofErr w:type="gramEnd"/>
      <w:r w:rsidR="004D3DA3" w:rsidRPr="006E04D7">
        <w:rPr>
          <w:rFonts w:ascii="Times New Roman" w:hAnsi="Times New Roman" w:cs="Times New Roman"/>
        </w:rPr>
        <w:t xml:space="preserve"> order to understand the distribution of the total catch data,</w:t>
      </w:r>
      <w:r w:rsidR="00E759F4" w:rsidRPr="006E04D7">
        <w:rPr>
          <w:rFonts w:ascii="Times New Roman" w:hAnsi="Times New Roman" w:cs="Times New Roman"/>
        </w:rPr>
        <w:t xml:space="preserve"> t</w:t>
      </w:r>
      <w:r w:rsidR="004D3DA3" w:rsidRPr="006E04D7">
        <w:rPr>
          <w:rFonts w:ascii="Times New Roman" w:hAnsi="Times New Roman" w:cs="Times New Roman"/>
        </w:rPr>
        <w:t>he Anderson-Darling, Ryan-Joiner and Kolmogorov-Smirnov test</w:t>
      </w:r>
      <w:r w:rsidR="0085723A" w:rsidRPr="006E04D7">
        <w:rPr>
          <w:rFonts w:ascii="Times New Roman" w:hAnsi="Times New Roman" w:cs="Times New Roman"/>
        </w:rPr>
        <w:t>s</w:t>
      </w:r>
      <w:r w:rsidR="004D3DA3" w:rsidRPr="006E04D7">
        <w:rPr>
          <w:rFonts w:ascii="Times New Roman" w:hAnsi="Times New Roman" w:cs="Times New Roman"/>
        </w:rPr>
        <w:t xml:space="preserve"> are conduc</w:t>
      </w:r>
      <w:r w:rsidR="0085723A" w:rsidRPr="006E04D7">
        <w:rPr>
          <w:rFonts w:ascii="Times New Roman" w:hAnsi="Times New Roman" w:cs="Times New Roman"/>
        </w:rPr>
        <w:t>ted and the results are reported in Table 1</w:t>
      </w:r>
      <w:r w:rsidR="004D3DA3" w:rsidRPr="006E04D7">
        <w:rPr>
          <w:rFonts w:ascii="Times New Roman" w:hAnsi="Times New Roman" w:cs="Times New Roman"/>
        </w:rPr>
        <w:t>.</w:t>
      </w:r>
    </w:p>
    <w:tbl>
      <w:tblPr>
        <w:tblStyle w:val="TableGrid"/>
        <w:tblW w:w="9041" w:type="dxa"/>
        <w:tblLayout w:type="fixed"/>
        <w:tblLook w:val="04A0" w:firstRow="1" w:lastRow="0" w:firstColumn="1" w:lastColumn="0" w:noHBand="0" w:noVBand="1"/>
      </w:tblPr>
      <w:tblGrid>
        <w:gridCol w:w="1250"/>
        <w:gridCol w:w="942"/>
        <w:gridCol w:w="941"/>
        <w:gridCol w:w="942"/>
        <w:gridCol w:w="941"/>
        <w:gridCol w:w="942"/>
        <w:gridCol w:w="1099"/>
        <w:gridCol w:w="951"/>
        <w:gridCol w:w="1033"/>
      </w:tblGrid>
      <w:tr w:rsidR="00210C40" w:rsidRPr="006E04D7" w14:paraId="00A32DEA" w14:textId="77777777" w:rsidTr="00CC2CBB">
        <w:trPr>
          <w:trHeight w:val="1074"/>
        </w:trPr>
        <w:tc>
          <w:tcPr>
            <w:tcW w:w="1250" w:type="dxa"/>
            <w:vAlign w:val="center"/>
          </w:tcPr>
          <w:p w14:paraId="2D5EFC9A"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Normality test</w:t>
            </w:r>
          </w:p>
        </w:tc>
        <w:tc>
          <w:tcPr>
            <w:tcW w:w="1883" w:type="dxa"/>
            <w:gridSpan w:val="2"/>
            <w:vAlign w:val="center"/>
          </w:tcPr>
          <w:p w14:paraId="300D651B"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Ryan-Joiner</w:t>
            </w:r>
          </w:p>
        </w:tc>
        <w:tc>
          <w:tcPr>
            <w:tcW w:w="1883" w:type="dxa"/>
            <w:gridSpan w:val="2"/>
            <w:vAlign w:val="center"/>
          </w:tcPr>
          <w:p w14:paraId="0CEC8964"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Kolmogorov-Smirnov</w:t>
            </w:r>
          </w:p>
        </w:tc>
        <w:tc>
          <w:tcPr>
            <w:tcW w:w="2041" w:type="dxa"/>
            <w:gridSpan w:val="2"/>
            <w:vAlign w:val="center"/>
          </w:tcPr>
          <w:p w14:paraId="695F66DD"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Anderson-Darling</w:t>
            </w:r>
          </w:p>
        </w:tc>
        <w:tc>
          <w:tcPr>
            <w:tcW w:w="951" w:type="dxa"/>
            <w:vMerge w:val="restart"/>
            <w:vAlign w:val="center"/>
          </w:tcPr>
          <w:p w14:paraId="0BFA2C91"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Mean</w:t>
            </w:r>
          </w:p>
        </w:tc>
        <w:tc>
          <w:tcPr>
            <w:tcW w:w="1031" w:type="dxa"/>
            <w:vMerge w:val="restart"/>
            <w:vAlign w:val="center"/>
          </w:tcPr>
          <w:p w14:paraId="178C68F5" w14:textId="77777777" w:rsidR="00210C40" w:rsidRPr="006E04D7" w:rsidRDefault="00210C40" w:rsidP="00210C40">
            <w:pPr>
              <w:jc w:val="center"/>
              <w:rPr>
                <w:rFonts w:ascii="Times New Roman" w:hAnsi="Times New Roman" w:cs="Times New Roman"/>
              </w:rPr>
            </w:pPr>
            <w:proofErr w:type="spellStart"/>
            <w:r w:rsidRPr="006E04D7">
              <w:rPr>
                <w:rFonts w:ascii="Times New Roman" w:hAnsi="Times New Roman" w:cs="Times New Roman"/>
              </w:rPr>
              <w:t>STDev</w:t>
            </w:r>
            <w:proofErr w:type="spellEnd"/>
          </w:p>
        </w:tc>
      </w:tr>
      <w:tr w:rsidR="00210C40" w:rsidRPr="006E04D7" w14:paraId="6BA95CF4" w14:textId="77777777" w:rsidTr="00CC2CBB">
        <w:trPr>
          <w:trHeight w:val="1074"/>
        </w:trPr>
        <w:tc>
          <w:tcPr>
            <w:tcW w:w="1250" w:type="dxa"/>
            <w:vAlign w:val="center"/>
          </w:tcPr>
          <w:p w14:paraId="0F25123F" w14:textId="77777777" w:rsidR="00210C40" w:rsidRPr="006E04D7" w:rsidRDefault="00210C40" w:rsidP="00210C40">
            <w:pPr>
              <w:rPr>
                <w:rFonts w:ascii="Times New Roman" w:hAnsi="Times New Roman" w:cs="Times New Roman"/>
              </w:rPr>
            </w:pPr>
            <w:r w:rsidRPr="006E04D7">
              <w:rPr>
                <w:rFonts w:ascii="Times New Roman" w:hAnsi="Times New Roman" w:cs="Times New Roman"/>
              </w:rPr>
              <w:t>Region</w:t>
            </w:r>
          </w:p>
        </w:tc>
        <w:tc>
          <w:tcPr>
            <w:tcW w:w="942" w:type="dxa"/>
            <w:vAlign w:val="center"/>
          </w:tcPr>
          <w:p w14:paraId="1C39C31F"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P-value</w:t>
            </w:r>
          </w:p>
        </w:tc>
        <w:tc>
          <w:tcPr>
            <w:tcW w:w="941" w:type="dxa"/>
            <w:vAlign w:val="center"/>
          </w:tcPr>
          <w:p w14:paraId="6EFF3F22"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RJ</w:t>
            </w:r>
          </w:p>
        </w:tc>
        <w:tc>
          <w:tcPr>
            <w:tcW w:w="942" w:type="dxa"/>
            <w:vAlign w:val="center"/>
          </w:tcPr>
          <w:p w14:paraId="5125ECC1"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P-value</w:t>
            </w:r>
          </w:p>
        </w:tc>
        <w:tc>
          <w:tcPr>
            <w:tcW w:w="941" w:type="dxa"/>
            <w:vAlign w:val="center"/>
          </w:tcPr>
          <w:p w14:paraId="36F891D7"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KS</w:t>
            </w:r>
          </w:p>
        </w:tc>
        <w:tc>
          <w:tcPr>
            <w:tcW w:w="942" w:type="dxa"/>
            <w:vAlign w:val="center"/>
          </w:tcPr>
          <w:p w14:paraId="78FFA3E4"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P-value</w:t>
            </w:r>
          </w:p>
        </w:tc>
        <w:tc>
          <w:tcPr>
            <w:tcW w:w="1098" w:type="dxa"/>
            <w:vAlign w:val="center"/>
          </w:tcPr>
          <w:p w14:paraId="023F6A47"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AD</w:t>
            </w:r>
          </w:p>
        </w:tc>
        <w:tc>
          <w:tcPr>
            <w:tcW w:w="951" w:type="dxa"/>
            <w:vMerge/>
          </w:tcPr>
          <w:p w14:paraId="55DCD06D" w14:textId="77777777" w:rsidR="00210C40" w:rsidRPr="006E04D7" w:rsidRDefault="00210C40" w:rsidP="00210C40">
            <w:pPr>
              <w:rPr>
                <w:rFonts w:ascii="Times New Roman" w:hAnsi="Times New Roman" w:cs="Times New Roman"/>
              </w:rPr>
            </w:pPr>
          </w:p>
        </w:tc>
        <w:tc>
          <w:tcPr>
            <w:tcW w:w="1031" w:type="dxa"/>
            <w:vMerge/>
          </w:tcPr>
          <w:p w14:paraId="1334CD01" w14:textId="77777777" w:rsidR="00210C40" w:rsidRPr="006E04D7" w:rsidRDefault="00210C40" w:rsidP="00210C40">
            <w:pPr>
              <w:rPr>
                <w:rFonts w:ascii="Times New Roman" w:hAnsi="Times New Roman" w:cs="Times New Roman"/>
              </w:rPr>
            </w:pPr>
          </w:p>
        </w:tc>
      </w:tr>
      <w:tr w:rsidR="00210C40" w:rsidRPr="006E04D7" w14:paraId="6305BF13" w14:textId="77777777" w:rsidTr="00CC2CBB">
        <w:trPr>
          <w:trHeight w:val="700"/>
        </w:trPr>
        <w:tc>
          <w:tcPr>
            <w:tcW w:w="1250" w:type="dxa"/>
            <w:vAlign w:val="center"/>
          </w:tcPr>
          <w:p w14:paraId="5B5FE251" w14:textId="77777777" w:rsidR="00210C40" w:rsidRPr="006E04D7" w:rsidRDefault="00210C40" w:rsidP="00210C40">
            <w:pPr>
              <w:rPr>
                <w:rFonts w:ascii="Times New Roman" w:hAnsi="Times New Roman" w:cs="Times New Roman"/>
              </w:rPr>
            </w:pPr>
            <w:r w:rsidRPr="006E04D7">
              <w:rPr>
                <w:rFonts w:ascii="Times New Roman" w:hAnsi="Times New Roman" w:cs="Times New Roman"/>
              </w:rPr>
              <w:t>MED</w:t>
            </w:r>
          </w:p>
        </w:tc>
        <w:tc>
          <w:tcPr>
            <w:tcW w:w="942" w:type="dxa"/>
            <w:vAlign w:val="center"/>
          </w:tcPr>
          <w:p w14:paraId="087A2A00"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&lt;0.010</w:t>
            </w:r>
          </w:p>
        </w:tc>
        <w:tc>
          <w:tcPr>
            <w:tcW w:w="941" w:type="dxa"/>
            <w:vAlign w:val="center"/>
          </w:tcPr>
          <w:p w14:paraId="51A9FD0B"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0.929</w:t>
            </w:r>
          </w:p>
        </w:tc>
        <w:tc>
          <w:tcPr>
            <w:tcW w:w="942" w:type="dxa"/>
            <w:vAlign w:val="center"/>
          </w:tcPr>
          <w:p w14:paraId="015D6DEF"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&lt;0.010</w:t>
            </w:r>
          </w:p>
        </w:tc>
        <w:tc>
          <w:tcPr>
            <w:tcW w:w="941" w:type="dxa"/>
            <w:vAlign w:val="center"/>
          </w:tcPr>
          <w:p w14:paraId="784F229E"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0.232</w:t>
            </w:r>
          </w:p>
        </w:tc>
        <w:tc>
          <w:tcPr>
            <w:tcW w:w="942" w:type="dxa"/>
            <w:vAlign w:val="center"/>
          </w:tcPr>
          <w:p w14:paraId="0EEFFB78"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&lt;0.005</w:t>
            </w:r>
          </w:p>
        </w:tc>
        <w:tc>
          <w:tcPr>
            <w:tcW w:w="1098" w:type="dxa"/>
            <w:vAlign w:val="center"/>
          </w:tcPr>
          <w:p w14:paraId="278ED12F"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1.605</w:t>
            </w:r>
          </w:p>
        </w:tc>
        <w:tc>
          <w:tcPr>
            <w:tcW w:w="951" w:type="dxa"/>
            <w:vAlign w:val="center"/>
          </w:tcPr>
          <w:p w14:paraId="2CFBC075"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27</w:t>
            </w:r>
            <w:r w:rsidR="00F102F0" w:rsidRPr="006E04D7">
              <w:rPr>
                <w:rFonts w:ascii="Times New Roman" w:hAnsi="Times New Roman" w:cs="Times New Roman"/>
              </w:rPr>
              <w:t>,</w:t>
            </w:r>
            <w:r w:rsidRPr="006E04D7">
              <w:rPr>
                <w:rFonts w:ascii="Times New Roman" w:hAnsi="Times New Roman" w:cs="Times New Roman"/>
              </w:rPr>
              <w:t>489</w:t>
            </w:r>
          </w:p>
        </w:tc>
        <w:tc>
          <w:tcPr>
            <w:tcW w:w="1031" w:type="dxa"/>
            <w:vAlign w:val="center"/>
          </w:tcPr>
          <w:p w14:paraId="51130DD0"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15</w:t>
            </w:r>
            <w:r w:rsidR="00F102F0" w:rsidRPr="006E04D7">
              <w:rPr>
                <w:rFonts w:ascii="Times New Roman" w:hAnsi="Times New Roman" w:cs="Times New Roman"/>
              </w:rPr>
              <w:t>,</w:t>
            </w:r>
            <w:r w:rsidRPr="006E04D7">
              <w:rPr>
                <w:rFonts w:ascii="Times New Roman" w:hAnsi="Times New Roman" w:cs="Times New Roman"/>
              </w:rPr>
              <w:t>533</w:t>
            </w:r>
          </w:p>
        </w:tc>
      </w:tr>
      <w:tr w:rsidR="00210C40" w:rsidRPr="006E04D7" w14:paraId="12CFA2FD" w14:textId="77777777" w:rsidTr="00CC2CBB">
        <w:trPr>
          <w:trHeight w:val="700"/>
        </w:trPr>
        <w:tc>
          <w:tcPr>
            <w:tcW w:w="1250" w:type="dxa"/>
            <w:vAlign w:val="center"/>
          </w:tcPr>
          <w:p w14:paraId="6E8025EC" w14:textId="77777777" w:rsidR="00210C40" w:rsidRPr="006E04D7" w:rsidRDefault="00210C40" w:rsidP="00210C40">
            <w:pPr>
              <w:rPr>
                <w:rFonts w:ascii="Times New Roman" w:hAnsi="Times New Roman" w:cs="Times New Roman"/>
              </w:rPr>
            </w:pPr>
            <w:r w:rsidRPr="006E04D7">
              <w:rPr>
                <w:rFonts w:ascii="Times New Roman" w:hAnsi="Times New Roman" w:cs="Times New Roman"/>
              </w:rPr>
              <w:t>ATE</w:t>
            </w:r>
          </w:p>
        </w:tc>
        <w:tc>
          <w:tcPr>
            <w:tcW w:w="942" w:type="dxa"/>
            <w:vAlign w:val="center"/>
          </w:tcPr>
          <w:p w14:paraId="453BCFC3"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&gt;0.1</w:t>
            </w:r>
          </w:p>
        </w:tc>
        <w:tc>
          <w:tcPr>
            <w:tcW w:w="941" w:type="dxa"/>
            <w:vAlign w:val="center"/>
          </w:tcPr>
          <w:p w14:paraId="229E3D97"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0.971</w:t>
            </w:r>
          </w:p>
        </w:tc>
        <w:tc>
          <w:tcPr>
            <w:tcW w:w="942" w:type="dxa"/>
            <w:vAlign w:val="center"/>
          </w:tcPr>
          <w:p w14:paraId="2BAD83DA"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&gt;0.15</w:t>
            </w:r>
          </w:p>
        </w:tc>
        <w:tc>
          <w:tcPr>
            <w:tcW w:w="941" w:type="dxa"/>
            <w:vAlign w:val="center"/>
          </w:tcPr>
          <w:p w14:paraId="3AA80C4D"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0.102</w:t>
            </w:r>
          </w:p>
        </w:tc>
        <w:tc>
          <w:tcPr>
            <w:tcW w:w="942" w:type="dxa"/>
            <w:vAlign w:val="center"/>
          </w:tcPr>
          <w:p w14:paraId="5BECB219"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0.416</w:t>
            </w:r>
          </w:p>
        </w:tc>
        <w:tc>
          <w:tcPr>
            <w:tcW w:w="1098" w:type="dxa"/>
            <w:vAlign w:val="center"/>
          </w:tcPr>
          <w:p w14:paraId="227957E7"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0.361</w:t>
            </w:r>
          </w:p>
        </w:tc>
        <w:tc>
          <w:tcPr>
            <w:tcW w:w="951" w:type="dxa"/>
            <w:vAlign w:val="center"/>
          </w:tcPr>
          <w:p w14:paraId="242E0532"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8</w:t>
            </w:r>
            <w:r w:rsidR="00F102F0" w:rsidRPr="006E04D7">
              <w:rPr>
                <w:rFonts w:ascii="Times New Roman" w:hAnsi="Times New Roman" w:cs="Times New Roman"/>
              </w:rPr>
              <w:t>,</w:t>
            </w:r>
            <w:r w:rsidRPr="006E04D7">
              <w:rPr>
                <w:rFonts w:ascii="Times New Roman" w:hAnsi="Times New Roman" w:cs="Times New Roman"/>
              </w:rPr>
              <w:t>017</w:t>
            </w:r>
          </w:p>
        </w:tc>
        <w:tc>
          <w:tcPr>
            <w:tcW w:w="1031" w:type="dxa"/>
            <w:vAlign w:val="center"/>
          </w:tcPr>
          <w:p w14:paraId="148A258F"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3</w:t>
            </w:r>
            <w:r w:rsidR="00F102F0" w:rsidRPr="006E04D7">
              <w:rPr>
                <w:rFonts w:ascii="Times New Roman" w:hAnsi="Times New Roman" w:cs="Times New Roman"/>
              </w:rPr>
              <w:t>,</w:t>
            </w:r>
            <w:r w:rsidRPr="006E04D7">
              <w:rPr>
                <w:rFonts w:ascii="Times New Roman" w:hAnsi="Times New Roman" w:cs="Times New Roman"/>
              </w:rPr>
              <w:t>182</w:t>
            </w:r>
          </w:p>
        </w:tc>
      </w:tr>
      <w:tr w:rsidR="00210C40" w:rsidRPr="006E04D7" w14:paraId="49E746ED" w14:textId="77777777" w:rsidTr="00CC2CBB">
        <w:trPr>
          <w:trHeight w:val="700"/>
        </w:trPr>
        <w:tc>
          <w:tcPr>
            <w:tcW w:w="1250" w:type="dxa"/>
            <w:vAlign w:val="center"/>
          </w:tcPr>
          <w:p w14:paraId="42AC74B0" w14:textId="77777777" w:rsidR="00210C40" w:rsidRPr="006E04D7" w:rsidRDefault="00210C40" w:rsidP="00210C40">
            <w:pPr>
              <w:rPr>
                <w:rFonts w:ascii="Times New Roman" w:hAnsi="Times New Roman" w:cs="Times New Roman"/>
              </w:rPr>
            </w:pPr>
            <w:r w:rsidRPr="006E04D7">
              <w:rPr>
                <w:rFonts w:ascii="Times New Roman" w:hAnsi="Times New Roman" w:cs="Times New Roman"/>
              </w:rPr>
              <w:t>ATW</w:t>
            </w:r>
          </w:p>
        </w:tc>
        <w:tc>
          <w:tcPr>
            <w:tcW w:w="942" w:type="dxa"/>
            <w:vAlign w:val="center"/>
          </w:tcPr>
          <w:p w14:paraId="6D05674A"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&gt;0.1</w:t>
            </w:r>
          </w:p>
        </w:tc>
        <w:tc>
          <w:tcPr>
            <w:tcW w:w="941" w:type="dxa"/>
            <w:vAlign w:val="center"/>
          </w:tcPr>
          <w:p w14:paraId="03587C8B"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0.965</w:t>
            </w:r>
          </w:p>
        </w:tc>
        <w:tc>
          <w:tcPr>
            <w:tcW w:w="942" w:type="dxa"/>
            <w:vAlign w:val="center"/>
          </w:tcPr>
          <w:p w14:paraId="74AEA14E"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0.039</w:t>
            </w:r>
          </w:p>
        </w:tc>
        <w:tc>
          <w:tcPr>
            <w:tcW w:w="941" w:type="dxa"/>
            <w:vAlign w:val="center"/>
          </w:tcPr>
          <w:p w14:paraId="6A6F321B"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0.189</w:t>
            </w:r>
          </w:p>
        </w:tc>
        <w:tc>
          <w:tcPr>
            <w:tcW w:w="942" w:type="dxa"/>
            <w:vAlign w:val="center"/>
          </w:tcPr>
          <w:p w14:paraId="46E230EA"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0.078</w:t>
            </w:r>
          </w:p>
        </w:tc>
        <w:tc>
          <w:tcPr>
            <w:tcW w:w="1098" w:type="dxa"/>
            <w:vAlign w:val="center"/>
          </w:tcPr>
          <w:p w14:paraId="6E7B6B8E"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0.65</w:t>
            </w:r>
          </w:p>
        </w:tc>
        <w:tc>
          <w:tcPr>
            <w:tcW w:w="951" w:type="dxa"/>
            <w:vAlign w:val="center"/>
          </w:tcPr>
          <w:p w14:paraId="0FDA0BAB"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2</w:t>
            </w:r>
            <w:r w:rsidR="00F102F0" w:rsidRPr="006E04D7">
              <w:rPr>
                <w:rFonts w:ascii="Times New Roman" w:hAnsi="Times New Roman" w:cs="Times New Roman"/>
              </w:rPr>
              <w:t>,</w:t>
            </w:r>
            <w:r w:rsidRPr="006E04D7">
              <w:rPr>
                <w:rFonts w:ascii="Times New Roman" w:hAnsi="Times New Roman" w:cs="Times New Roman"/>
              </w:rPr>
              <w:t>156</w:t>
            </w:r>
          </w:p>
        </w:tc>
        <w:tc>
          <w:tcPr>
            <w:tcW w:w="1031" w:type="dxa"/>
            <w:vAlign w:val="center"/>
          </w:tcPr>
          <w:p w14:paraId="3AFE53F2" w14:textId="77777777" w:rsidR="00210C40" w:rsidRPr="006E04D7" w:rsidRDefault="00210C40" w:rsidP="00210C40">
            <w:pPr>
              <w:jc w:val="center"/>
              <w:rPr>
                <w:rFonts w:ascii="Times New Roman" w:hAnsi="Times New Roman" w:cs="Times New Roman"/>
              </w:rPr>
            </w:pPr>
            <w:r w:rsidRPr="006E04D7">
              <w:rPr>
                <w:rFonts w:ascii="Times New Roman" w:hAnsi="Times New Roman" w:cs="Times New Roman"/>
              </w:rPr>
              <w:t>470</w:t>
            </w:r>
          </w:p>
        </w:tc>
      </w:tr>
      <w:tr w:rsidR="00CC2CBB" w:rsidRPr="006E04D7" w14:paraId="2925043D" w14:textId="77777777" w:rsidTr="00CC2CBB">
        <w:trPr>
          <w:trHeight w:val="350"/>
        </w:trPr>
        <w:tc>
          <w:tcPr>
            <w:tcW w:w="9041" w:type="dxa"/>
            <w:gridSpan w:val="9"/>
            <w:vAlign w:val="center"/>
          </w:tcPr>
          <w:p w14:paraId="4898CE09" w14:textId="77777777" w:rsidR="00CC2CBB" w:rsidRPr="006E04D7" w:rsidRDefault="00CC2CBB" w:rsidP="0085723A">
            <w:pPr>
              <w:keepNext/>
              <w:rPr>
                <w:rFonts w:ascii="Times New Roman" w:hAnsi="Times New Roman" w:cs="Times New Roman"/>
              </w:rPr>
            </w:pPr>
            <w:r w:rsidRPr="006E04D7">
              <w:rPr>
                <w:rFonts w:ascii="Times New Roman" w:hAnsi="Times New Roman" w:cs="Times New Roman"/>
              </w:rPr>
              <w:t>N=23</w:t>
            </w:r>
          </w:p>
        </w:tc>
      </w:tr>
    </w:tbl>
    <w:p w14:paraId="0C207141" w14:textId="77777777" w:rsidR="00AD7CC6" w:rsidRPr="006E04D7" w:rsidRDefault="0085723A" w:rsidP="00AD7CC6">
      <w:pPr>
        <w:pStyle w:val="Caption"/>
        <w:rPr>
          <w:rFonts w:ascii="Times New Roman" w:hAnsi="Times New Roman" w:cs="Times New Roman"/>
        </w:rPr>
      </w:pPr>
      <w:r w:rsidRPr="006E04D7">
        <w:rPr>
          <w:rFonts w:ascii="Times New Roman" w:hAnsi="Times New Roman" w:cs="Times New Roman"/>
        </w:rPr>
        <w:t xml:space="preserve">Table </w:t>
      </w:r>
      <w:r w:rsidR="00FB400E">
        <w:rPr>
          <w:rFonts w:ascii="Times New Roman" w:hAnsi="Times New Roman" w:cs="Times New Roman"/>
        </w:rPr>
        <w:fldChar w:fldCharType="begin"/>
      </w:r>
      <w:r w:rsidR="00FB400E">
        <w:rPr>
          <w:rFonts w:ascii="Times New Roman" w:hAnsi="Times New Roman" w:cs="Times New Roman"/>
        </w:rPr>
        <w:instrText xml:space="preserve"> SEQ Table \* ARABIC </w:instrText>
      </w:r>
      <w:r w:rsidR="00FB400E">
        <w:rPr>
          <w:rFonts w:ascii="Times New Roman" w:hAnsi="Times New Roman" w:cs="Times New Roman"/>
        </w:rPr>
        <w:fldChar w:fldCharType="separate"/>
      </w:r>
      <w:r w:rsidR="00563C86">
        <w:rPr>
          <w:rFonts w:ascii="Times New Roman" w:hAnsi="Times New Roman" w:cs="Times New Roman"/>
          <w:noProof/>
        </w:rPr>
        <w:t>1</w:t>
      </w:r>
      <w:r w:rsidR="00FB400E">
        <w:rPr>
          <w:rFonts w:ascii="Times New Roman" w:hAnsi="Times New Roman" w:cs="Times New Roman"/>
        </w:rPr>
        <w:fldChar w:fldCharType="end"/>
      </w:r>
      <w:r w:rsidRPr="006E04D7">
        <w:rPr>
          <w:rFonts w:ascii="Times New Roman" w:hAnsi="Times New Roman" w:cs="Times New Roman"/>
        </w:rPr>
        <w:t>: Normality test</w:t>
      </w:r>
    </w:p>
    <w:p w14:paraId="53A57CF7" w14:textId="77777777" w:rsidR="00E8000E" w:rsidRPr="006E04D7" w:rsidRDefault="00E8000E" w:rsidP="00E8000E">
      <w:pPr>
        <w:rPr>
          <w:rFonts w:ascii="Times New Roman" w:hAnsi="Times New Roman" w:cs="Times New Roman"/>
        </w:rPr>
      </w:pPr>
    </w:p>
    <w:p w14:paraId="0EB7EBF8" w14:textId="77777777" w:rsidR="00AD7CC6" w:rsidRPr="006E04D7" w:rsidRDefault="00AD7CC6" w:rsidP="00AD7CC6">
      <w:pPr>
        <w:keepNext/>
        <w:spacing w:line="360" w:lineRule="auto"/>
        <w:jc w:val="center"/>
        <w:rPr>
          <w:rFonts w:ascii="Times New Roman" w:hAnsi="Times New Roman" w:cs="Times New Roman"/>
        </w:rPr>
      </w:pPr>
      <w:r w:rsidRPr="006E04D7">
        <w:rPr>
          <w:rFonts w:ascii="Times New Roman" w:hAnsi="Times New Roman" w:cs="Times New Roman"/>
          <w:noProof/>
          <w:sz w:val="24"/>
          <w:szCs w:val="24"/>
          <w:lang w:eastAsia="en-GB"/>
        </w:rPr>
        <w:drawing>
          <wp:inline distT="0" distB="0" distL="0" distR="0" wp14:anchorId="1A17C746" wp14:editId="1D4492FC">
            <wp:extent cx="4016830" cy="2677886"/>
            <wp:effectExtent l="0" t="0" r="317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3985" cy="2682656"/>
                    </a:xfrm>
                    <a:prstGeom prst="rect">
                      <a:avLst/>
                    </a:prstGeom>
                    <a:noFill/>
                    <a:ln>
                      <a:noFill/>
                    </a:ln>
                  </pic:spPr>
                </pic:pic>
              </a:graphicData>
            </a:graphic>
          </wp:inline>
        </w:drawing>
      </w:r>
    </w:p>
    <w:p w14:paraId="40E45393" w14:textId="77777777" w:rsidR="00AD7CC6" w:rsidRPr="006E04D7" w:rsidRDefault="00AD7CC6" w:rsidP="00AD7CC6">
      <w:pPr>
        <w:pStyle w:val="Caption"/>
        <w:jc w:val="center"/>
        <w:rPr>
          <w:rFonts w:ascii="Times New Roman" w:hAnsi="Times New Roman" w:cs="Times New Roman"/>
          <w:sz w:val="24"/>
          <w:szCs w:val="24"/>
        </w:rPr>
      </w:pPr>
      <w:r w:rsidRPr="006E04D7">
        <w:rPr>
          <w:rFonts w:ascii="Times New Roman" w:hAnsi="Times New Roman" w:cs="Times New Roman"/>
        </w:rPr>
        <w:t xml:space="preserve">Figure </w:t>
      </w:r>
      <w:r w:rsidRPr="006E04D7">
        <w:rPr>
          <w:rFonts w:ascii="Times New Roman" w:hAnsi="Times New Roman" w:cs="Times New Roman"/>
        </w:rPr>
        <w:fldChar w:fldCharType="begin"/>
      </w:r>
      <w:r w:rsidRPr="006E04D7">
        <w:rPr>
          <w:rFonts w:ascii="Times New Roman" w:hAnsi="Times New Roman" w:cs="Times New Roman"/>
        </w:rPr>
        <w:instrText xml:space="preserve"> SEQ Figure \* ARABIC </w:instrText>
      </w:r>
      <w:r w:rsidRPr="006E04D7">
        <w:rPr>
          <w:rFonts w:ascii="Times New Roman" w:hAnsi="Times New Roman" w:cs="Times New Roman"/>
        </w:rPr>
        <w:fldChar w:fldCharType="separate"/>
      </w:r>
      <w:r w:rsidR="00563C86">
        <w:rPr>
          <w:rFonts w:ascii="Times New Roman" w:hAnsi="Times New Roman" w:cs="Times New Roman"/>
          <w:noProof/>
        </w:rPr>
        <w:t>10</w:t>
      </w:r>
      <w:r w:rsidRPr="006E04D7">
        <w:rPr>
          <w:rFonts w:ascii="Times New Roman" w:hAnsi="Times New Roman" w:cs="Times New Roman"/>
        </w:rPr>
        <w:fldChar w:fldCharType="end"/>
      </w:r>
      <w:r w:rsidRPr="006E04D7">
        <w:rPr>
          <w:rFonts w:ascii="Times New Roman" w:hAnsi="Times New Roman" w:cs="Times New Roman"/>
        </w:rPr>
        <w:t>: Probability Plot of total catch Med</w:t>
      </w:r>
    </w:p>
    <w:p w14:paraId="1266F703" w14:textId="77777777" w:rsidR="00AD7CC6" w:rsidRPr="006E04D7" w:rsidRDefault="00AD7CC6" w:rsidP="00AD7CC6">
      <w:pPr>
        <w:keepNext/>
        <w:spacing w:line="360" w:lineRule="auto"/>
        <w:jc w:val="center"/>
        <w:rPr>
          <w:rFonts w:ascii="Times New Roman" w:hAnsi="Times New Roman" w:cs="Times New Roman"/>
        </w:rPr>
      </w:pPr>
      <w:r w:rsidRPr="006E04D7">
        <w:rPr>
          <w:rFonts w:ascii="Times New Roman" w:hAnsi="Times New Roman" w:cs="Times New Roman"/>
          <w:noProof/>
          <w:sz w:val="24"/>
          <w:szCs w:val="24"/>
          <w:lang w:eastAsia="en-GB"/>
        </w:rPr>
        <w:lastRenderedPageBreak/>
        <w:drawing>
          <wp:inline distT="0" distB="0" distL="0" distR="0" wp14:anchorId="6AC79D1E" wp14:editId="06E3845C">
            <wp:extent cx="3879667" cy="2586446"/>
            <wp:effectExtent l="0" t="0" r="698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4748" cy="2609833"/>
                    </a:xfrm>
                    <a:prstGeom prst="rect">
                      <a:avLst/>
                    </a:prstGeom>
                    <a:noFill/>
                    <a:ln>
                      <a:noFill/>
                    </a:ln>
                  </pic:spPr>
                </pic:pic>
              </a:graphicData>
            </a:graphic>
          </wp:inline>
        </w:drawing>
      </w:r>
    </w:p>
    <w:p w14:paraId="131EE1F1" w14:textId="77777777" w:rsidR="00AD7CC6" w:rsidRPr="006E04D7" w:rsidRDefault="00AD7CC6" w:rsidP="00AD7CC6">
      <w:pPr>
        <w:pStyle w:val="Caption"/>
        <w:jc w:val="center"/>
        <w:rPr>
          <w:rFonts w:ascii="Times New Roman" w:hAnsi="Times New Roman" w:cs="Times New Roman"/>
        </w:rPr>
      </w:pPr>
      <w:r w:rsidRPr="006E04D7">
        <w:rPr>
          <w:rFonts w:ascii="Times New Roman" w:hAnsi="Times New Roman" w:cs="Times New Roman"/>
        </w:rPr>
        <w:t xml:space="preserve">Figure </w:t>
      </w:r>
      <w:r w:rsidRPr="006E04D7">
        <w:rPr>
          <w:rFonts w:ascii="Times New Roman" w:hAnsi="Times New Roman" w:cs="Times New Roman"/>
        </w:rPr>
        <w:fldChar w:fldCharType="begin"/>
      </w:r>
      <w:r w:rsidRPr="006E04D7">
        <w:rPr>
          <w:rFonts w:ascii="Times New Roman" w:hAnsi="Times New Roman" w:cs="Times New Roman"/>
        </w:rPr>
        <w:instrText xml:space="preserve"> SEQ Figure \* ARABIC </w:instrText>
      </w:r>
      <w:r w:rsidRPr="006E04D7">
        <w:rPr>
          <w:rFonts w:ascii="Times New Roman" w:hAnsi="Times New Roman" w:cs="Times New Roman"/>
        </w:rPr>
        <w:fldChar w:fldCharType="separate"/>
      </w:r>
      <w:r w:rsidR="00563C86">
        <w:rPr>
          <w:rFonts w:ascii="Times New Roman" w:hAnsi="Times New Roman" w:cs="Times New Roman"/>
          <w:noProof/>
        </w:rPr>
        <w:t>11</w:t>
      </w:r>
      <w:r w:rsidRPr="006E04D7">
        <w:rPr>
          <w:rFonts w:ascii="Times New Roman" w:hAnsi="Times New Roman" w:cs="Times New Roman"/>
        </w:rPr>
        <w:fldChar w:fldCharType="end"/>
      </w:r>
      <w:r w:rsidRPr="006E04D7">
        <w:rPr>
          <w:rFonts w:ascii="Times New Roman" w:hAnsi="Times New Roman" w:cs="Times New Roman"/>
        </w:rPr>
        <w:t>:Probability Plot of total catch ATE</w:t>
      </w:r>
    </w:p>
    <w:p w14:paraId="22CEA8B4" w14:textId="77777777" w:rsidR="00AD7CC6" w:rsidRPr="006E04D7" w:rsidRDefault="00AD7CC6" w:rsidP="00AD7CC6">
      <w:pPr>
        <w:keepNext/>
        <w:jc w:val="center"/>
        <w:rPr>
          <w:rFonts w:ascii="Times New Roman" w:hAnsi="Times New Roman" w:cs="Times New Roman"/>
        </w:rPr>
      </w:pPr>
      <w:r w:rsidRPr="006E04D7">
        <w:rPr>
          <w:rFonts w:ascii="Times New Roman" w:hAnsi="Times New Roman" w:cs="Times New Roman"/>
          <w:noProof/>
          <w:lang w:eastAsia="en-GB"/>
        </w:rPr>
        <w:drawing>
          <wp:inline distT="0" distB="0" distL="0" distR="0" wp14:anchorId="615965A8" wp14:editId="3D9DCCA0">
            <wp:extent cx="3860073" cy="257338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72891" cy="2581927"/>
                    </a:xfrm>
                    <a:prstGeom prst="rect">
                      <a:avLst/>
                    </a:prstGeom>
                    <a:noFill/>
                    <a:ln>
                      <a:noFill/>
                    </a:ln>
                  </pic:spPr>
                </pic:pic>
              </a:graphicData>
            </a:graphic>
          </wp:inline>
        </w:drawing>
      </w:r>
    </w:p>
    <w:p w14:paraId="6D2AC62C" w14:textId="77777777" w:rsidR="00AD7CC6" w:rsidRPr="006E04D7" w:rsidRDefault="00AD7CC6" w:rsidP="00AD7CC6">
      <w:pPr>
        <w:pStyle w:val="Caption"/>
        <w:jc w:val="center"/>
        <w:rPr>
          <w:rFonts w:ascii="Times New Roman" w:hAnsi="Times New Roman" w:cs="Times New Roman"/>
        </w:rPr>
      </w:pPr>
      <w:r w:rsidRPr="006E04D7">
        <w:rPr>
          <w:rFonts w:ascii="Times New Roman" w:hAnsi="Times New Roman" w:cs="Times New Roman"/>
        </w:rPr>
        <w:t xml:space="preserve">Figure </w:t>
      </w:r>
      <w:r w:rsidRPr="006E04D7">
        <w:rPr>
          <w:rFonts w:ascii="Times New Roman" w:hAnsi="Times New Roman" w:cs="Times New Roman"/>
        </w:rPr>
        <w:fldChar w:fldCharType="begin"/>
      </w:r>
      <w:r w:rsidRPr="006E04D7">
        <w:rPr>
          <w:rFonts w:ascii="Times New Roman" w:hAnsi="Times New Roman" w:cs="Times New Roman"/>
        </w:rPr>
        <w:instrText xml:space="preserve"> SEQ Figure \* ARABIC </w:instrText>
      </w:r>
      <w:r w:rsidRPr="006E04D7">
        <w:rPr>
          <w:rFonts w:ascii="Times New Roman" w:hAnsi="Times New Roman" w:cs="Times New Roman"/>
        </w:rPr>
        <w:fldChar w:fldCharType="separate"/>
      </w:r>
      <w:r w:rsidR="00563C86">
        <w:rPr>
          <w:rFonts w:ascii="Times New Roman" w:hAnsi="Times New Roman" w:cs="Times New Roman"/>
          <w:noProof/>
        </w:rPr>
        <w:t>12</w:t>
      </w:r>
      <w:r w:rsidRPr="006E04D7">
        <w:rPr>
          <w:rFonts w:ascii="Times New Roman" w:hAnsi="Times New Roman" w:cs="Times New Roman"/>
        </w:rPr>
        <w:fldChar w:fldCharType="end"/>
      </w:r>
      <w:r w:rsidRPr="006E04D7">
        <w:rPr>
          <w:rFonts w:ascii="Times New Roman" w:hAnsi="Times New Roman" w:cs="Times New Roman"/>
        </w:rPr>
        <w:t>:Probability Plot of total catch ATW</w:t>
      </w:r>
    </w:p>
    <w:p w14:paraId="1D017C73" w14:textId="77777777" w:rsidR="0085723A" w:rsidRPr="006E04D7" w:rsidRDefault="00CC2CBB" w:rsidP="00A33313">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Based on the P-values of the normality tests, it can be conclude</w:t>
      </w:r>
      <w:r w:rsidR="0085723A" w:rsidRPr="006E04D7">
        <w:rPr>
          <w:rFonts w:ascii="Times New Roman" w:hAnsi="Times New Roman" w:cs="Times New Roman"/>
          <w:sz w:val="24"/>
          <w:szCs w:val="24"/>
        </w:rPr>
        <w:t>d</w:t>
      </w:r>
      <w:r w:rsidRPr="006E04D7">
        <w:rPr>
          <w:rFonts w:ascii="Times New Roman" w:hAnsi="Times New Roman" w:cs="Times New Roman"/>
          <w:sz w:val="24"/>
          <w:szCs w:val="24"/>
        </w:rPr>
        <w:t xml:space="preserve"> that</w:t>
      </w:r>
      <w:r w:rsidR="0085723A" w:rsidRPr="006E04D7">
        <w:rPr>
          <w:rFonts w:ascii="Times New Roman" w:hAnsi="Times New Roman" w:cs="Times New Roman"/>
          <w:sz w:val="24"/>
          <w:szCs w:val="24"/>
        </w:rPr>
        <w:t xml:space="preserve"> the catch data for the</w:t>
      </w:r>
      <w:r w:rsidRPr="006E04D7">
        <w:rPr>
          <w:rFonts w:ascii="Times New Roman" w:hAnsi="Times New Roman" w:cs="Times New Roman"/>
          <w:sz w:val="24"/>
          <w:szCs w:val="24"/>
        </w:rPr>
        <w:t xml:space="preserve"> West Atlantic and East Atlantic have a normal </w:t>
      </w:r>
      <w:proofErr w:type="gramStart"/>
      <w:r w:rsidRPr="006E04D7">
        <w:rPr>
          <w:rFonts w:ascii="Times New Roman" w:hAnsi="Times New Roman" w:cs="Times New Roman"/>
          <w:sz w:val="24"/>
          <w:szCs w:val="24"/>
        </w:rPr>
        <w:t>distribution</w:t>
      </w:r>
      <w:r w:rsidR="00964FD2" w:rsidRPr="006E04D7">
        <w:rPr>
          <w:rFonts w:ascii="Times New Roman" w:hAnsi="Times New Roman" w:cs="Times New Roman"/>
          <w:sz w:val="24"/>
          <w:szCs w:val="24"/>
        </w:rPr>
        <w:t>(</w:t>
      </w:r>
      <w:proofErr w:type="gramEnd"/>
      <w:r w:rsidR="00964FD2" w:rsidRPr="006E04D7">
        <w:rPr>
          <w:rFonts w:ascii="Times New Roman" w:hAnsi="Times New Roman" w:cs="Times New Roman"/>
          <w:sz w:val="24"/>
          <w:szCs w:val="24"/>
        </w:rPr>
        <w:t>in at least two methods)</w:t>
      </w:r>
      <w:r w:rsidRPr="006E04D7">
        <w:rPr>
          <w:rFonts w:ascii="Times New Roman" w:hAnsi="Times New Roman" w:cs="Times New Roman"/>
          <w:sz w:val="24"/>
          <w:szCs w:val="24"/>
        </w:rPr>
        <w:t xml:space="preserve"> whereas the total catch in the Mediterranean region has a non-normal distribution (P-values&lt;0.05).</w:t>
      </w:r>
      <w:r w:rsidR="0085723A" w:rsidRPr="006E04D7">
        <w:rPr>
          <w:rFonts w:ascii="Times New Roman" w:hAnsi="Times New Roman" w:cs="Times New Roman"/>
          <w:sz w:val="24"/>
          <w:szCs w:val="24"/>
        </w:rPr>
        <w:t xml:space="preserve"> </w:t>
      </w:r>
    </w:p>
    <w:p w14:paraId="5D1001FF" w14:textId="77777777" w:rsidR="00F102F0" w:rsidRPr="006E04D7" w:rsidRDefault="00A33313" w:rsidP="00964FD2">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F</w:t>
      </w:r>
      <w:r w:rsidR="00CC2CBB" w:rsidRPr="006E04D7">
        <w:rPr>
          <w:rFonts w:ascii="Times New Roman" w:hAnsi="Times New Roman" w:cs="Times New Roman"/>
          <w:sz w:val="24"/>
          <w:szCs w:val="24"/>
        </w:rPr>
        <w:t xml:space="preserve">or </w:t>
      </w:r>
      <w:r w:rsidRPr="006E04D7">
        <w:rPr>
          <w:rFonts w:ascii="Times New Roman" w:hAnsi="Times New Roman" w:cs="Times New Roman"/>
          <w:sz w:val="24"/>
          <w:szCs w:val="24"/>
        </w:rPr>
        <w:t>comparison</w:t>
      </w:r>
      <w:r w:rsidR="00CC2CBB" w:rsidRPr="006E04D7">
        <w:rPr>
          <w:rFonts w:ascii="Times New Roman" w:hAnsi="Times New Roman" w:cs="Times New Roman"/>
          <w:sz w:val="24"/>
          <w:szCs w:val="24"/>
        </w:rPr>
        <w:t xml:space="preserve"> of the total catch in ATE and ATW</w:t>
      </w:r>
      <w:r w:rsidR="0085723A" w:rsidRPr="006E04D7">
        <w:rPr>
          <w:rFonts w:ascii="Times New Roman" w:hAnsi="Times New Roman" w:cs="Times New Roman"/>
          <w:sz w:val="24"/>
          <w:szCs w:val="24"/>
        </w:rPr>
        <w:t>,</w:t>
      </w:r>
      <w:r w:rsidR="00CC2CBB" w:rsidRPr="006E04D7">
        <w:rPr>
          <w:rFonts w:ascii="Times New Roman" w:hAnsi="Times New Roman" w:cs="Times New Roman"/>
          <w:sz w:val="24"/>
          <w:szCs w:val="24"/>
        </w:rPr>
        <w:t xml:space="preserve"> the two sample T test is used</w:t>
      </w:r>
      <w:r w:rsidRPr="006E04D7">
        <w:rPr>
          <w:rFonts w:ascii="Times New Roman" w:hAnsi="Times New Roman" w:cs="Times New Roman"/>
          <w:sz w:val="24"/>
          <w:szCs w:val="24"/>
        </w:rPr>
        <w:t xml:space="preserve"> </w:t>
      </w:r>
      <w:r w:rsidR="0085723A" w:rsidRPr="006E04D7">
        <w:rPr>
          <w:rFonts w:ascii="Times New Roman" w:hAnsi="Times New Roman" w:cs="Times New Roman"/>
          <w:sz w:val="24"/>
          <w:szCs w:val="24"/>
        </w:rPr>
        <w:t xml:space="preserve">which shows </w:t>
      </w:r>
      <w:r w:rsidRPr="006E04D7">
        <w:rPr>
          <w:rFonts w:ascii="Times New Roman" w:hAnsi="Times New Roman" w:cs="Times New Roman"/>
          <w:sz w:val="24"/>
          <w:szCs w:val="24"/>
        </w:rPr>
        <w:t xml:space="preserve">  P-Value&lt;0.0001 </w:t>
      </w:r>
      <w:r w:rsidR="00964FD2" w:rsidRPr="006E04D7">
        <w:rPr>
          <w:rFonts w:ascii="Times New Roman" w:hAnsi="Times New Roman" w:cs="Times New Roman"/>
          <w:sz w:val="24"/>
          <w:szCs w:val="24"/>
        </w:rPr>
        <w:t>meaning</w:t>
      </w:r>
      <w:r w:rsidR="0085723A" w:rsidRPr="006E04D7">
        <w:rPr>
          <w:rFonts w:ascii="Times New Roman" w:hAnsi="Times New Roman" w:cs="Times New Roman"/>
          <w:sz w:val="24"/>
          <w:szCs w:val="24"/>
        </w:rPr>
        <w:t xml:space="preserve"> </w:t>
      </w:r>
      <w:r w:rsidR="00CC2CBB" w:rsidRPr="006E04D7">
        <w:rPr>
          <w:rFonts w:ascii="Times New Roman" w:hAnsi="Times New Roman" w:cs="Times New Roman"/>
          <w:sz w:val="24"/>
          <w:szCs w:val="24"/>
        </w:rPr>
        <w:t xml:space="preserve">that there is statistically significant difference between the total catch in ATW and ATE region. </w:t>
      </w:r>
      <w:r w:rsidR="005B5856" w:rsidRPr="006E04D7">
        <w:rPr>
          <w:rFonts w:ascii="Times New Roman" w:hAnsi="Times New Roman" w:cs="Times New Roman"/>
          <w:sz w:val="24"/>
          <w:szCs w:val="24"/>
        </w:rPr>
        <w:t xml:space="preserve">For comparing the </w:t>
      </w:r>
      <w:r w:rsidR="00F53D94" w:rsidRPr="006E04D7">
        <w:rPr>
          <w:rFonts w:ascii="Times New Roman" w:hAnsi="Times New Roman" w:cs="Times New Roman"/>
          <w:sz w:val="24"/>
          <w:szCs w:val="24"/>
        </w:rPr>
        <w:t>Mediterranean</w:t>
      </w:r>
      <w:r w:rsidR="005B5856" w:rsidRPr="006E04D7">
        <w:rPr>
          <w:rFonts w:ascii="Times New Roman" w:hAnsi="Times New Roman" w:cs="Times New Roman"/>
          <w:sz w:val="24"/>
          <w:szCs w:val="24"/>
        </w:rPr>
        <w:t xml:space="preserve"> region with</w:t>
      </w:r>
      <w:r w:rsidR="005649AC" w:rsidRPr="006E04D7">
        <w:rPr>
          <w:rFonts w:ascii="Times New Roman" w:hAnsi="Times New Roman" w:cs="Times New Roman"/>
          <w:sz w:val="24"/>
          <w:szCs w:val="24"/>
        </w:rPr>
        <w:t xml:space="preserve"> the other two regions</w:t>
      </w:r>
      <w:r w:rsidR="005B5856" w:rsidRPr="006E04D7">
        <w:rPr>
          <w:rFonts w:ascii="Times New Roman" w:hAnsi="Times New Roman" w:cs="Times New Roman"/>
          <w:sz w:val="24"/>
          <w:szCs w:val="24"/>
        </w:rPr>
        <w:t xml:space="preserve"> </w:t>
      </w:r>
      <w:r w:rsidR="005649AC" w:rsidRPr="006E04D7">
        <w:rPr>
          <w:rFonts w:ascii="Times New Roman" w:hAnsi="Times New Roman" w:cs="Times New Roman"/>
          <w:sz w:val="24"/>
          <w:szCs w:val="24"/>
        </w:rPr>
        <w:t>(</w:t>
      </w:r>
      <w:r w:rsidR="005B5856" w:rsidRPr="006E04D7">
        <w:rPr>
          <w:rFonts w:ascii="Times New Roman" w:hAnsi="Times New Roman" w:cs="Times New Roman"/>
          <w:sz w:val="24"/>
          <w:szCs w:val="24"/>
        </w:rPr>
        <w:t>East and West Atlantic</w:t>
      </w:r>
      <w:r w:rsidR="005649AC" w:rsidRPr="006E04D7">
        <w:rPr>
          <w:rFonts w:ascii="Times New Roman" w:hAnsi="Times New Roman" w:cs="Times New Roman"/>
          <w:sz w:val="24"/>
          <w:szCs w:val="24"/>
        </w:rPr>
        <w:t>)</w:t>
      </w:r>
      <w:r w:rsidR="005B5856" w:rsidRPr="006E04D7">
        <w:rPr>
          <w:rFonts w:ascii="Times New Roman" w:hAnsi="Times New Roman" w:cs="Times New Roman"/>
          <w:sz w:val="24"/>
          <w:szCs w:val="24"/>
        </w:rPr>
        <w:t>, the Mann-</w:t>
      </w:r>
      <w:proofErr w:type="spellStart"/>
      <w:r w:rsidR="005B5856" w:rsidRPr="006E04D7">
        <w:rPr>
          <w:rFonts w:ascii="Times New Roman" w:hAnsi="Times New Roman" w:cs="Times New Roman"/>
          <w:sz w:val="24"/>
          <w:szCs w:val="24"/>
        </w:rPr>
        <w:t>Whiteney</w:t>
      </w:r>
      <w:proofErr w:type="spellEnd"/>
      <w:r w:rsidR="005B5856" w:rsidRPr="006E04D7">
        <w:rPr>
          <w:rFonts w:ascii="Times New Roman" w:hAnsi="Times New Roman" w:cs="Times New Roman"/>
          <w:sz w:val="24"/>
          <w:szCs w:val="24"/>
        </w:rPr>
        <w:t xml:space="preserve"> test is used</w:t>
      </w:r>
      <w:r w:rsidR="0085723A" w:rsidRPr="006E04D7">
        <w:rPr>
          <w:rFonts w:ascii="Times New Roman" w:hAnsi="Times New Roman" w:cs="Times New Roman"/>
          <w:sz w:val="24"/>
          <w:szCs w:val="24"/>
        </w:rPr>
        <w:t xml:space="preserve"> and the reported</w:t>
      </w:r>
      <w:r w:rsidR="005B5856" w:rsidRPr="006E04D7">
        <w:rPr>
          <w:rFonts w:ascii="Times New Roman" w:hAnsi="Times New Roman" w:cs="Times New Roman"/>
          <w:sz w:val="24"/>
          <w:szCs w:val="24"/>
        </w:rPr>
        <w:t xml:space="preserve"> </w:t>
      </w:r>
      <w:r w:rsidRPr="006E04D7">
        <w:rPr>
          <w:rFonts w:ascii="Times New Roman" w:hAnsi="Times New Roman" w:cs="Times New Roman"/>
          <w:sz w:val="24"/>
          <w:szCs w:val="24"/>
        </w:rPr>
        <w:t>P-value</w:t>
      </w:r>
      <w:r w:rsidR="005649AC" w:rsidRPr="006E04D7">
        <w:rPr>
          <w:rFonts w:ascii="Times New Roman" w:hAnsi="Times New Roman" w:cs="Times New Roman"/>
          <w:sz w:val="24"/>
          <w:szCs w:val="24"/>
        </w:rPr>
        <w:t>s</w:t>
      </w:r>
      <w:r w:rsidR="00964FD2" w:rsidRPr="006E04D7">
        <w:rPr>
          <w:rFonts w:ascii="Times New Roman" w:hAnsi="Times New Roman" w:cs="Times New Roman"/>
          <w:sz w:val="24"/>
          <w:szCs w:val="24"/>
        </w:rPr>
        <w:t xml:space="preserve"> is </w:t>
      </w:r>
      <w:r w:rsidRPr="006E04D7">
        <w:rPr>
          <w:rFonts w:ascii="Times New Roman" w:hAnsi="Times New Roman" w:cs="Times New Roman"/>
          <w:sz w:val="24"/>
          <w:szCs w:val="24"/>
        </w:rPr>
        <w:t xml:space="preserve">&lt;0.00001 for all groups. </w:t>
      </w:r>
    </w:p>
    <w:p w14:paraId="4A2972A5" w14:textId="77777777" w:rsidR="00A33313" w:rsidRPr="006E04D7" w:rsidRDefault="00A33313" w:rsidP="00964FD2">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lastRenderedPageBreak/>
        <w:t>These</w:t>
      </w:r>
      <w:r w:rsidR="005B5856" w:rsidRPr="006E04D7">
        <w:rPr>
          <w:rFonts w:ascii="Times New Roman" w:hAnsi="Times New Roman" w:cs="Times New Roman"/>
          <w:sz w:val="24"/>
          <w:szCs w:val="24"/>
        </w:rPr>
        <w:t xml:space="preserve"> results</w:t>
      </w:r>
      <w:r w:rsidRPr="006E04D7">
        <w:rPr>
          <w:rFonts w:ascii="Times New Roman" w:hAnsi="Times New Roman" w:cs="Times New Roman"/>
          <w:sz w:val="24"/>
          <w:szCs w:val="24"/>
        </w:rPr>
        <w:t xml:space="preserve"> show that there is statistically significant difference between the total catch volume in these three regions, with the </w:t>
      </w:r>
      <w:r w:rsidR="00F53D94" w:rsidRPr="006E04D7">
        <w:rPr>
          <w:rFonts w:ascii="Times New Roman" w:hAnsi="Times New Roman" w:cs="Times New Roman"/>
          <w:sz w:val="24"/>
          <w:szCs w:val="24"/>
        </w:rPr>
        <w:t>Mediterranean</w:t>
      </w:r>
      <w:r w:rsidRPr="006E04D7">
        <w:rPr>
          <w:rFonts w:ascii="Times New Roman" w:hAnsi="Times New Roman" w:cs="Times New Roman"/>
          <w:sz w:val="24"/>
          <w:szCs w:val="24"/>
        </w:rPr>
        <w:t xml:space="preserve"> having the highest volume followed by the East Atlantic and West Atlantic region respectively. </w:t>
      </w:r>
    </w:p>
    <w:p w14:paraId="6F2F1E1E" w14:textId="77777777" w:rsidR="003776CC" w:rsidRPr="006E04D7" w:rsidRDefault="004F4CEF" w:rsidP="0034582E">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 ICCAT data presented in the previous section, a</w:t>
      </w:r>
      <w:r w:rsidR="0034582E" w:rsidRPr="006E04D7">
        <w:rPr>
          <w:rFonts w:ascii="Times New Roman" w:hAnsi="Times New Roman" w:cs="Times New Roman"/>
          <w:sz w:val="24"/>
          <w:szCs w:val="24"/>
        </w:rPr>
        <w:t xml:space="preserve">n NPV analysis and projection </w:t>
      </w:r>
      <w:r w:rsidR="00D95D0F">
        <w:rPr>
          <w:rFonts w:ascii="Times New Roman" w:hAnsi="Times New Roman" w:cs="Times New Roman"/>
          <w:sz w:val="24"/>
          <w:szCs w:val="24"/>
        </w:rPr>
        <w:t xml:space="preserve">for the East Atlantic and </w:t>
      </w:r>
      <w:r w:rsidR="00F53D94">
        <w:rPr>
          <w:rFonts w:ascii="Times New Roman" w:hAnsi="Times New Roman" w:cs="Times New Roman"/>
          <w:sz w:val="24"/>
          <w:szCs w:val="24"/>
        </w:rPr>
        <w:t>Mediterranean</w:t>
      </w:r>
      <w:r w:rsidR="00D95D0F">
        <w:rPr>
          <w:rFonts w:ascii="Times New Roman" w:hAnsi="Times New Roman" w:cs="Times New Roman"/>
          <w:sz w:val="24"/>
          <w:szCs w:val="24"/>
        </w:rPr>
        <w:t xml:space="preserve"> region </w:t>
      </w:r>
      <w:r w:rsidR="0034582E" w:rsidRPr="006E04D7">
        <w:rPr>
          <w:rFonts w:ascii="Times New Roman" w:hAnsi="Times New Roman" w:cs="Times New Roman"/>
          <w:sz w:val="24"/>
          <w:szCs w:val="24"/>
        </w:rPr>
        <w:t>is presented in this section</w:t>
      </w:r>
      <w:r w:rsidR="0027539F" w:rsidRPr="006E04D7">
        <w:rPr>
          <w:rFonts w:ascii="Times New Roman" w:hAnsi="Times New Roman" w:cs="Times New Roman"/>
          <w:sz w:val="24"/>
          <w:szCs w:val="24"/>
        </w:rPr>
        <w:t xml:space="preserve"> following the example of </w:t>
      </w:r>
      <w:r w:rsidR="0027539F" w:rsidRPr="006E04D7">
        <w:rPr>
          <w:rFonts w:ascii="Times New Roman" w:hAnsi="Times New Roman" w:cs="Times New Roman"/>
          <w:sz w:val="24"/>
          <w:szCs w:val="24"/>
        </w:rPr>
        <w:fldChar w:fldCharType="begin"/>
      </w:r>
      <w:r w:rsidR="0027539F" w:rsidRPr="006E04D7">
        <w:rPr>
          <w:rFonts w:ascii="Times New Roman" w:hAnsi="Times New Roman" w:cs="Times New Roman"/>
          <w:sz w:val="24"/>
          <w:szCs w:val="24"/>
        </w:rPr>
        <w:instrText xml:space="preserve"> ADDIN EN.CITE &lt;EndNote&gt;&lt;Cite&gt;&lt;Author&gt;Bjorndal&lt;/Author&gt;&lt;Year&gt;2006&lt;/Year&gt;&lt;RecNum&gt;297&lt;/RecNum&gt;&lt;DisplayText&gt;[23]&lt;/DisplayText&gt;&lt;record&gt;&lt;rec-number&gt;297&lt;/rec-number&gt;&lt;foreign-keys&gt;&lt;key app="EN" db-id="wffdwdt97adpw0eeedr5t2wbdwf5etardpas"&gt;297&lt;/key&gt;&lt;/foreign-keys&gt;&lt;ref-type name="Journal Article"&gt;17&lt;/ref-type&gt;&lt;contributors&gt;&lt;authors&gt;&lt;author&gt;Bjorndal,T. &lt;/author&gt;&lt;author&gt;Brasao, A. &lt;/author&gt;&lt;/authors&gt;&lt;/contributors&gt;&lt;titles&gt;&lt;title&gt;The East Atlantic Bluefin Tuna Fisheries: Stock Collapse or recovery&lt;/title&gt;&lt;secondary-title&gt;Marine Resource Economics&lt;/secondary-title&gt;&lt;/titles&gt;&lt;periodical&gt;&lt;full-title&gt;Marine Resource Economics&lt;/full-title&gt;&lt;/periodical&gt;&lt;pages&gt;193-210&lt;/pages&gt;&lt;volume&gt;21&lt;/volume&gt;&lt;dates&gt;&lt;year&gt;2006&lt;/year&gt;&lt;/dates&gt;&lt;urls&gt;&lt;/urls&gt;&lt;/record&gt;&lt;/Cite&gt;&lt;/EndNote&gt;</w:instrText>
      </w:r>
      <w:r w:rsidR="0027539F" w:rsidRPr="006E04D7">
        <w:rPr>
          <w:rFonts w:ascii="Times New Roman" w:hAnsi="Times New Roman" w:cs="Times New Roman"/>
          <w:sz w:val="24"/>
          <w:szCs w:val="24"/>
        </w:rPr>
        <w:fldChar w:fldCharType="separate"/>
      </w:r>
      <w:r w:rsidR="0027539F" w:rsidRPr="006E04D7">
        <w:rPr>
          <w:rFonts w:ascii="Times New Roman" w:hAnsi="Times New Roman" w:cs="Times New Roman"/>
          <w:noProof/>
          <w:sz w:val="24"/>
          <w:szCs w:val="24"/>
        </w:rPr>
        <w:t>[</w:t>
      </w:r>
      <w:hyperlink w:anchor="_ENREF_23" w:tooltip="Bjorndal, 2006 #297" w:history="1">
        <w:r w:rsidR="00CB2334" w:rsidRPr="006E04D7">
          <w:rPr>
            <w:rFonts w:ascii="Times New Roman" w:hAnsi="Times New Roman" w:cs="Times New Roman"/>
            <w:noProof/>
            <w:sz w:val="24"/>
            <w:szCs w:val="24"/>
          </w:rPr>
          <w:t>23</w:t>
        </w:r>
      </w:hyperlink>
      <w:r w:rsidR="0027539F" w:rsidRPr="006E04D7">
        <w:rPr>
          <w:rFonts w:ascii="Times New Roman" w:hAnsi="Times New Roman" w:cs="Times New Roman"/>
          <w:noProof/>
          <w:sz w:val="24"/>
          <w:szCs w:val="24"/>
        </w:rPr>
        <w:t>]</w:t>
      </w:r>
      <w:r w:rsidR="0027539F" w:rsidRPr="006E04D7">
        <w:rPr>
          <w:rFonts w:ascii="Times New Roman" w:hAnsi="Times New Roman" w:cs="Times New Roman"/>
          <w:sz w:val="24"/>
          <w:szCs w:val="24"/>
        </w:rPr>
        <w:fldChar w:fldCharType="end"/>
      </w:r>
      <w:r w:rsidR="0027539F" w:rsidRPr="006E04D7">
        <w:rPr>
          <w:rFonts w:ascii="Times New Roman" w:hAnsi="Times New Roman" w:cs="Times New Roman"/>
          <w:sz w:val="24"/>
          <w:szCs w:val="24"/>
        </w:rPr>
        <w:t xml:space="preserve"> </w:t>
      </w:r>
      <w:r w:rsidR="0034582E" w:rsidRPr="006E04D7">
        <w:rPr>
          <w:rFonts w:ascii="Times New Roman" w:hAnsi="Times New Roman" w:cs="Times New Roman"/>
          <w:sz w:val="24"/>
          <w:szCs w:val="24"/>
        </w:rPr>
        <w:t xml:space="preserve">. </w:t>
      </w:r>
      <w:r w:rsidR="003776CC" w:rsidRPr="006E04D7">
        <w:rPr>
          <w:rFonts w:ascii="Times New Roman" w:hAnsi="Times New Roman" w:cs="Times New Roman"/>
          <w:sz w:val="24"/>
          <w:szCs w:val="24"/>
        </w:rPr>
        <w:t>For each gear type</w:t>
      </w:r>
      <w:r w:rsidR="0034582E" w:rsidRPr="006E04D7">
        <w:rPr>
          <w:rFonts w:ascii="Times New Roman" w:hAnsi="Times New Roman" w:cs="Times New Roman"/>
          <w:sz w:val="24"/>
          <w:szCs w:val="24"/>
        </w:rPr>
        <w:t xml:space="preserve"> </w:t>
      </w:r>
      <m:oMath>
        <m:r>
          <w:rPr>
            <w:rFonts w:ascii="Cambria Math" w:hAnsi="Cambria Math" w:cs="Times New Roman"/>
            <w:sz w:val="24"/>
            <w:szCs w:val="24"/>
          </w:rPr>
          <m:t>(i=1,..,n)</m:t>
        </m:r>
      </m:oMath>
      <w:r w:rsidR="003776CC" w:rsidRPr="006E04D7">
        <w:rPr>
          <w:rFonts w:ascii="Times New Roman" w:hAnsi="Times New Roman" w:cs="Times New Roman"/>
          <w:sz w:val="24"/>
          <w:szCs w:val="24"/>
        </w:rPr>
        <w:t>, we will firstly define the parameters used in the model as below:</w:t>
      </w:r>
    </w:p>
    <w:p w14:paraId="7DA34CF8" w14:textId="77777777" w:rsidR="003776CC" w:rsidRPr="006E04D7" w:rsidRDefault="003776CC" w:rsidP="0034582E">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Revenue</w:t>
      </w:r>
    </w:p>
    <w:p w14:paraId="7CCCD1D5" w14:textId="77777777" w:rsidR="00BD4A2D" w:rsidRPr="006E04D7" w:rsidRDefault="00743C46" w:rsidP="0034582E">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Rev</m:t>
              </m:r>
            </m:e>
            <m:sub>
              <m:r>
                <w:rPr>
                  <w:rFonts w:ascii="Cambria Math" w:hAnsi="Cambria Math" w:cs="Times New Roman"/>
                  <w:sz w:val="24"/>
                  <w:szCs w:val="24"/>
                </w:rPr>
                <m:t>t,i</m:t>
              </m:r>
            </m:sub>
          </m:sSub>
          <m:r>
            <w:rPr>
              <w:rFonts w:ascii="Cambria Math" w:hAnsi="Cambria Math" w:cs="Times New Roman"/>
              <w:sz w:val="24"/>
              <w:szCs w:val="24"/>
            </w:rPr>
            <m:t>=(1-γ)</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sub>
          </m:sSub>
          <m:sSub>
            <m:sSubPr>
              <m:ctrlPr>
                <w:rPr>
                  <w:rFonts w:ascii="Cambria Math" w:hAnsi="Cambria Math" w:cs="Times New Roman"/>
                  <w:i/>
                  <w:sz w:val="24"/>
                  <w:szCs w:val="24"/>
                </w:rPr>
              </m:ctrlPr>
            </m:sSubPr>
            <m:e>
              <m:r>
                <w:rPr>
                  <w:rFonts w:ascii="Cambria Math" w:hAnsi="Cambria Math" w:cs="Times New Roman"/>
                  <w:sz w:val="24"/>
                  <w:szCs w:val="24"/>
                </w:rPr>
                <m:t>Ca</m:t>
              </m:r>
            </m:e>
            <m:sub>
              <m:r>
                <w:rPr>
                  <w:rFonts w:ascii="Cambria Math" w:hAnsi="Cambria Math" w:cs="Times New Roman"/>
                  <w:sz w:val="24"/>
                  <w:szCs w:val="24"/>
                </w:rPr>
                <m:t>t,i</m:t>
              </m:r>
            </m:sub>
          </m:sSub>
        </m:oMath>
      </m:oMathPara>
    </w:p>
    <w:p w14:paraId="589ACF70" w14:textId="77777777" w:rsidR="003776CC" w:rsidRPr="006E04D7" w:rsidRDefault="00BD4A2D" w:rsidP="0034582E">
      <w:pPr>
        <w:spacing w:before="240" w:line="360" w:lineRule="auto"/>
        <w:jc w:val="both"/>
        <w:rPr>
          <w:rFonts w:ascii="Times New Roman" w:eastAsiaTheme="minorEastAsia" w:hAnsi="Times New Roman" w:cs="Times New Roman"/>
          <w:sz w:val="24"/>
          <w:szCs w:val="24"/>
        </w:rPr>
      </w:pPr>
      <w:r w:rsidRPr="006E04D7">
        <w:rPr>
          <w:rFonts w:ascii="Times New Roman" w:eastAsiaTheme="minorEastAsia" w:hAnsi="Times New Roman" w:cs="Times New Roman"/>
          <w:sz w:val="24"/>
          <w:szCs w:val="24"/>
        </w:rPr>
        <w:t>C</w:t>
      </w:r>
      <w:r w:rsidR="003776CC" w:rsidRPr="006E04D7">
        <w:rPr>
          <w:rFonts w:ascii="Times New Roman" w:eastAsiaTheme="minorEastAsia" w:hAnsi="Times New Roman" w:cs="Times New Roman"/>
          <w:sz w:val="24"/>
          <w:szCs w:val="24"/>
        </w:rPr>
        <w:t>atch</w:t>
      </w:r>
    </w:p>
    <w:p w14:paraId="4614EDA7" w14:textId="77777777" w:rsidR="00BD4A2D" w:rsidRPr="006E04D7" w:rsidRDefault="00743C46" w:rsidP="0034582E">
      <w:pPr>
        <w:spacing w:before="240"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t,i</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t</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sup>
          </m:sSubSup>
        </m:oMath>
      </m:oMathPara>
    </w:p>
    <w:p w14:paraId="2BEE0413" w14:textId="77777777" w:rsidR="003776CC" w:rsidRPr="006E04D7" w:rsidRDefault="00FF1A92" w:rsidP="0034582E">
      <w:pPr>
        <w:spacing w:before="240" w:line="360" w:lineRule="auto"/>
        <w:jc w:val="both"/>
        <w:rPr>
          <w:rFonts w:ascii="Times New Roman" w:eastAsiaTheme="minorEastAsia" w:hAnsi="Times New Roman" w:cs="Times New Roman"/>
          <w:sz w:val="24"/>
          <w:szCs w:val="24"/>
        </w:rPr>
      </w:pPr>
      <w:r w:rsidRPr="006E04D7">
        <w:rPr>
          <w:rFonts w:ascii="Times New Roman" w:eastAsiaTheme="minorEastAsia" w:hAnsi="Times New Roman" w:cs="Times New Roman"/>
          <w:sz w:val="24"/>
          <w:szCs w:val="24"/>
        </w:rPr>
        <w:t>C</w:t>
      </w:r>
      <w:r w:rsidR="003776CC" w:rsidRPr="006E04D7">
        <w:rPr>
          <w:rFonts w:ascii="Times New Roman" w:eastAsiaTheme="minorEastAsia" w:hAnsi="Times New Roman" w:cs="Times New Roman"/>
          <w:sz w:val="24"/>
          <w:szCs w:val="24"/>
        </w:rPr>
        <w:t>ost</w:t>
      </w:r>
    </w:p>
    <w:p w14:paraId="651F0FA9" w14:textId="77777777" w:rsidR="00FF1A92" w:rsidRPr="006E04D7" w:rsidRDefault="00743C46" w:rsidP="0034582E">
      <w:pPr>
        <w:spacing w:before="240"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Co</m:t>
              </m:r>
            </m:e>
            <m:sub>
              <m:r>
                <w:rPr>
                  <w:rFonts w:ascii="Cambria Math" w:eastAsiaTheme="minorEastAsia" w:hAnsi="Cambria Math" w:cs="Times New Roman"/>
                  <w:sz w:val="24"/>
                  <w:szCs w:val="24"/>
                </w:rPr>
                <m:t>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t,i</m:t>
              </m:r>
            </m:sub>
          </m:sSub>
        </m:oMath>
      </m:oMathPara>
    </w:p>
    <w:p w14:paraId="73A8C086" w14:textId="77777777" w:rsidR="003776CC" w:rsidRPr="006E04D7" w:rsidRDefault="003776CC" w:rsidP="0034582E">
      <w:pPr>
        <w:spacing w:before="240" w:line="360" w:lineRule="auto"/>
        <w:jc w:val="both"/>
        <w:rPr>
          <w:rFonts w:ascii="Times New Roman" w:eastAsiaTheme="minorEastAsia" w:hAnsi="Times New Roman" w:cs="Times New Roman"/>
          <w:sz w:val="24"/>
          <w:szCs w:val="24"/>
        </w:rPr>
      </w:pPr>
      <w:r w:rsidRPr="006E04D7">
        <w:rPr>
          <w:rFonts w:ascii="Times New Roman" w:eastAsiaTheme="minorEastAsia" w:hAnsi="Times New Roman" w:cs="Times New Roman"/>
          <w:sz w:val="24"/>
          <w:szCs w:val="24"/>
        </w:rPr>
        <w:t>Profit</w:t>
      </w:r>
    </w:p>
    <w:p w14:paraId="2BEED7BB" w14:textId="77777777" w:rsidR="00FF1A92" w:rsidRPr="006E04D7" w:rsidRDefault="00743C46" w:rsidP="0034582E">
      <w:pPr>
        <w:spacing w:before="240"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t,i</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Rev</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Co</m:t>
              </m:r>
            </m:e>
            <m:sub>
              <m:r>
                <w:rPr>
                  <w:rFonts w:ascii="Cambria Math" w:eastAsiaTheme="minorEastAsia" w:hAnsi="Cambria Math" w:cs="Times New Roman"/>
                  <w:sz w:val="24"/>
                  <w:szCs w:val="24"/>
                </w:rPr>
                <m:t>t,i</m:t>
              </m:r>
            </m:sub>
          </m:sSub>
        </m:oMath>
      </m:oMathPara>
    </w:p>
    <w:p w14:paraId="04D6EEF0" w14:textId="77777777" w:rsidR="003776CC" w:rsidRPr="006E04D7" w:rsidRDefault="00FF1A92" w:rsidP="0034582E">
      <w:pPr>
        <w:spacing w:before="240" w:line="360" w:lineRule="auto"/>
        <w:jc w:val="both"/>
        <w:rPr>
          <w:rFonts w:ascii="Times New Roman" w:eastAsiaTheme="minorEastAsia" w:hAnsi="Times New Roman" w:cs="Times New Roman"/>
          <w:sz w:val="24"/>
          <w:szCs w:val="24"/>
        </w:rPr>
      </w:pPr>
      <w:r w:rsidRPr="006E04D7">
        <w:rPr>
          <w:rFonts w:ascii="Times New Roman" w:eastAsiaTheme="minorEastAsia" w:hAnsi="Times New Roman" w:cs="Times New Roman"/>
          <w:sz w:val="24"/>
          <w:szCs w:val="24"/>
        </w:rPr>
        <w:t>NPV</w:t>
      </w:r>
    </w:p>
    <w:p w14:paraId="44992409" w14:textId="77777777" w:rsidR="00FF1A92" w:rsidRPr="006E04D7" w:rsidRDefault="00743C46" w:rsidP="0034582E">
      <w:pPr>
        <w:spacing w:before="240" w:line="360" w:lineRule="auto"/>
        <w:jc w:val="both"/>
        <w:rPr>
          <w:rFonts w:ascii="Times New Roman" w:eastAsiaTheme="minorEastAsia" w:hAnsi="Times New Roman" w:cs="Times New Roman"/>
          <w:sz w:val="24"/>
          <w:szCs w:val="24"/>
        </w:rPr>
      </w:pPr>
      <m:oMathPara>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1+r)</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t</m:t>
                  </m:r>
                </m:sup>
              </m:sSup>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t,i</m:t>
              </m:r>
            </m:sub>
          </m:sSub>
        </m:oMath>
      </m:oMathPara>
    </w:p>
    <w:p w14:paraId="4208459C" w14:textId="77777777" w:rsidR="003776CC" w:rsidRPr="006E04D7" w:rsidRDefault="003776CC" w:rsidP="0034582E">
      <w:pPr>
        <w:spacing w:before="240" w:line="360" w:lineRule="auto"/>
        <w:jc w:val="both"/>
        <w:rPr>
          <w:rFonts w:ascii="Times New Roman" w:eastAsiaTheme="minorEastAsia" w:hAnsi="Times New Roman" w:cs="Times New Roman"/>
          <w:sz w:val="24"/>
          <w:szCs w:val="24"/>
        </w:rPr>
      </w:pPr>
    </w:p>
    <w:p w14:paraId="5263516E" w14:textId="77777777" w:rsidR="003776CC" w:rsidRPr="006E04D7" w:rsidRDefault="003776CC" w:rsidP="0034582E">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 xml:space="preserve">An optimization model is developed which selects the combination of gear types for maximising the </w:t>
      </w:r>
      <w:r w:rsidR="00FF1A92" w:rsidRPr="006E04D7">
        <w:rPr>
          <w:rFonts w:ascii="Times New Roman" w:hAnsi="Times New Roman" w:cs="Times New Roman"/>
          <w:sz w:val="24"/>
          <w:szCs w:val="24"/>
        </w:rPr>
        <w:t xml:space="preserve">total </w:t>
      </w:r>
      <w:r w:rsidRPr="006E04D7">
        <w:rPr>
          <w:rFonts w:ascii="Times New Roman" w:hAnsi="Times New Roman" w:cs="Times New Roman"/>
          <w:sz w:val="24"/>
          <w:szCs w:val="24"/>
        </w:rPr>
        <w:t xml:space="preserve">NPV. The NPV assessment of the </w:t>
      </w:r>
      <w:r w:rsidR="00D95D0F">
        <w:rPr>
          <w:rFonts w:ascii="Times New Roman" w:hAnsi="Times New Roman" w:cs="Times New Roman"/>
          <w:sz w:val="24"/>
          <w:szCs w:val="24"/>
        </w:rPr>
        <w:t xml:space="preserve">East Atlantic </w:t>
      </w:r>
      <w:r w:rsidRPr="006E04D7">
        <w:rPr>
          <w:rFonts w:ascii="Times New Roman" w:hAnsi="Times New Roman" w:cs="Times New Roman"/>
          <w:sz w:val="24"/>
          <w:szCs w:val="24"/>
        </w:rPr>
        <w:t xml:space="preserve">is based on the historical data from ICCAT. </w:t>
      </w:r>
      <w:r w:rsidR="0027539F" w:rsidRPr="006E04D7">
        <w:rPr>
          <w:rFonts w:ascii="Times New Roman" w:hAnsi="Times New Roman" w:cs="Times New Roman"/>
          <w:sz w:val="24"/>
          <w:szCs w:val="24"/>
        </w:rPr>
        <w:t xml:space="preserve">A binary </w:t>
      </w:r>
      <w:r w:rsidRPr="006E04D7">
        <w:rPr>
          <w:rFonts w:ascii="Times New Roman" w:hAnsi="Times New Roman" w:cs="Times New Roman"/>
          <w:sz w:val="24"/>
          <w:szCs w:val="24"/>
        </w:rPr>
        <w:t>linear programming model</w:t>
      </w:r>
      <w:r w:rsidR="0027539F" w:rsidRPr="006E04D7">
        <w:rPr>
          <w:rFonts w:ascii="Times New Roman" w:hAnsi="Times New Roman" w:cs="Times New Roman"/>
          <w:sz w:val="24"/>
          <w:szCs w:val="24"/>
        </w:rPr>
        <w:t xml:space="preserve"> is developed</w:t>
      </w:r>
      <w:r w:rsidRPr="006E04D7">
        <w:rPr>
          <w:rFonts w:ascii="Times New Roman" w:hAnsi="Times New Roman" w:cs="Times New Roman"/>
          <w:sz w:val="24"/>
          <w:szCs w:val="24"/>
        </w:rPr>
        <w:t xml:space="preserve"> in which the total NPV is maximised such that the</w:t>
      </w:r>
      <w:r w:rsidR="0027539F" w:rsidRPr="006E04D7">
        <w:rPr>
          <w:rFonts w:ascii="Times New Roman" w:hAnsi="Times New Roman" w:cs="Times New Roman"/>
          <w:sz w:val="24"/>
          <w:szCs w:val="24"/>
        </w:rPr>
        <w:t xml:space="preserve"> </w:t>
      </w:r>
      <w:r w:rsidRPr="006E04D7">
        <w:rPr>
          <w:rFonts w:ascii="Times New Roman" w:hAnsi="Times New Roman" w:cs="Times New Roman"/>
          <w:sz w:val="24"/>
          <w:szCs w:val="24"/>
        </w:rPr>
        <w:t>decision variable</w:t>
      </w:r>
      <w:r w:rsidR="0027539F" w:rsidRPr="006E04D7">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m:t>
        </m:r>
      </m:oMath>
      <w:r w:rsidRPr="006E04D7">
        <w:rPr>
          <w:rFonts w:ascii="Times New Roman" w:hAnsi="Times New Roman" w:cs="Times New Roman"/>
          <w:sz w:val="24"/>
          <w:szCs w:val="24"/>
        </w:rPr>
        <w:t xml:space="preserve"> if the geartype is selected and</w:t>
      </w:r>
      <w:r w:rsidR="0027539F" w:rsidRPr="006E04D7">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=0</m:t>
        </m:r>
      </m:oMath>
      <w:r w:rsidR="0027539F" w:rsidRPr="006E04D7">
        <w:rPr>
          <w:rFonts w:ascii="Times New Roman" w:hAnsi="Times New Roman" w:cs="Times New Roman"/>
          <w:sz w:val="24"/>
          <w:szCs w:val="24"/>
        </w:rPr>
        <w:t xml:space="preserve"> </w:t>
      </w:r>
      <w:r w:rsidRPr="006E04D7">
        <w:rPr>
          <w:rFonts w:ascii="Times New Roman" w:hAnsi="Times New Roman" w:cs="Times New Roman"/>
          <w:sz w:val="24"/>
          <w:szCs w:val="24"/>
        </w:rPr>
        <w:t xml:space="preserve"> otherwise</w:t>
      </w:r>
      <w:r w:rsidR="0027539F" w:rsidRPr="006E04D7">
        <w:rPr>
          <w:rFonts w:ascii="Times New Roman" w:hAnsi="Times New Roman" w:cs="Times New Roman"/>
          <w:sz w:val="24"/>
          <w:szCs w:val="24"/>
        </w:rPr>
        <w:t>.</w:t>
      </w:r>
    </w:p>
    <w:p w14:paraId="4737C80B" w14:textId="77777777" w:rsidR="003776CC" w:rsidRPr="006E04D7" w:rsidRDefault="00743C46" w:rsidP="0034582E">
      <w:pPr>
        <w:spacing w:line="360" w:lineRule="auto"/>
        <w:jc w:val="both"/>
        <w:rPr>
          <w:rFonts w:ascii="Times New Roman" w:eastAsiaTheme="minorEastAsia"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max</m:t>
              </m:r>
            </m:fName>
            <m:e>
              <m:r>
                <w:rPr>
                  <w:rFonts w:ascii="Cambria Math" w:hAnsi="Cambria Math" w:cs="Times New Roman"/>
                  <w:sz w:val="24"/>
                  <w:szCs w:val="24"/>
                </w:rPr>
                <m:t>z=</m:t>
              </m:r>
            </m:e>
          </m:func>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NPVT</m:t>
              </m:r>
            </m:e>
          </m:nary>
          <m:r>
            <w:rPr>
              <w:rFonts w:ascii="Cambria Math" w:eastAsiaTheme="minorEastAsia" w:hAnsi="Cambria Math" w:cs="Times New Roman"/>
              <w:sz w:val="24"/>
              <w:szCs w:val="24"/>
            </w:rPr>
            <m:t xml:space="preserve">   i=1,…,n</m:t>
          </m:r>
        </m:oMath>
      </m:oMathPara>
    </w:p>
    <w:p w14:paraId="42023B18" w14:textId="77777777" w:rsidR="003776CC" w:rsidRPr="006E04D7" w:rsidRDefault="003776CC" w:rsidP="0034582E">
      <w:pPr>
        <w:spacing w:line="360" w:lineRule="auto"/>
        <w:jc w:val="both"/>
        <w:rPr>
          <w:rFonts w:ascii="Times New Roman" w:eastAsiaTheme="minorEastAsia" w:hAnsi="Times New Roman" w:cs="Times New Roman"/>
          <w:sz w:val="24"/>
          <w:szCs w:val="24"/>
        </w:rPr>
      </w:pPr>
      <w:r w:rsidRPr="006E04D7">
        <w:rPr>
          <w:rFonts w:ascii="Times New Roman" w:eastAsiaTheme="minorEastAsia" w:hAnsi="Times New Roman" w:cs="Times New Roman"/>
          <w:sz w:val="24"/>
          <w:szCs w:val="24"/>
        </w:rPr>
        <w:t>Such that:</w:t>
      </w:r>
    </w:p>
    <w:p w14:paraId="6AA1CD2D" w14:textId="77777777" w:rsidR="003776CC" w:rsidRPr="006E04D7" w:rsidRDefault="00743C46" w:rsidP="0034582E">
      <w:pPr>
        <w:spacing w:line="360" w:lineRule="auto"/>
        <w:jc w:val="both"/>
        <w:rPr>
          <w:rFonts w:ascii="Times New Roman" w:eastAsiaTheme="minorEastAsia" w:hAnsi="Times New Roman" w:cs="Times New Roman"/>
          <w:sz w:val="24"/>
          <w:szCs w:val="24"/>
        </w:rPr>
      </w:pP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i,t</m:t>
                </m:r>
              </m:sub>
            </m:sSub>
          </m:e>
        </m:nary>
        <m:r>
          <w:rPr>
            <w:rFonts w:ascii="Cambria Math" w:eastAsiaTheme="minorEastAsia" w:hAnsi="Cambria Math" w:cs="Times New Roman"/>
            <w:sz w:val="24"/>
            <w:szCs w:val="24"/>
          </w:rPr>
          <m:t xml:space="preserve">  (t=1,..,T   i=1,..,n) </m:t>
        </m:r>
      </m:oMath>
      <w:r w:rsidR="00CA7270">
        <w:rPr>
          <w:rFonts w:ascii="Times New Roman" w:eastAsiaTheme="minorEastAsia" w:hAnsi="Times New Roman" w:cs="Times New Roman"/>
          <w:sz w:val="24"/>
          <w:szCs w:val="24"/>
        </w:rPr>
        <w:t xml:space="preserve"> </w:t>
      </w:r>
    </w:p>
    <w:p w14:paraId="5C491FCC" w14:textId="77777777" w:rsidR="003776CC" w:rsidRPr="006E04D7" w:rsidRDefault="00743C46" w:rsidP="0034582E">
      <w:pPr>
        <w:spacing w:line="360" w:lineRule="auto"/>
        <w:jc w:val="both"/>
        <w:rPr>
          <w:rFonts w:ascii="Times New Roman" w:eastAsiaTheme="minorEastAsia" w:hAnsi="Times New Roman" w:cs="Times New Roman"/>
          <w:sz w:val="24"/>
          <w:szCs w:val="24"/>
        </w:rPr>
      </w:pPr>
      <m:oMathPara>
        <m:oMathParaPr>
          <m:jc m:val="left"/>
        </m:oMathParaP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Ca</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i,t</m:t>
                  </m:r>
                </m:sub>
              </m:sSub>
            </m:e>
          </m:nary>
          <m:r>
            <w:rPr>
              <w:rFonts w:ascii="Cambria Math" w:eastAsiaTheme="minorEastAsia" w:hAnsi="Cambria Math" w:cs="Times New Roman"/>
              <w:sz w:val="24"/>
              <w:szCs w:val="24"/>
            </w:rPr>
            <m:t xml:space="preserve"> (t=1,..,T  i=1,..,n)</m:t>
          </m:r>
        </m:oMath>
      </m:oMathPara>
    </w:p>
    <w:p w14:paraId="7C55B6E3" w14:textId="77777777" w:rsidR="003776CC" w:rsidRPr="006E04D7" w:rsidRDefault="00743C46" w:rsidP="0034582E">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=φ</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i-1,t-1</m:t>
              </m:r>
            </m:sub>
          </m:sSub>
        </m:oMath>
      </m:oMathPara>
    </w:p>
    <w:p w14:paraId="7F56243D" w14:textId="77777777" w:rsidR="003776CC" w:rsidRPr="006E04D7" w:rsidRDefault="00743C46" w:rsidP="0034582E">
      <w:pPr>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φ'</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i-1,t-1</m:t>
              </m:r>
            </m:sub>
          </m:sSub>
        </m:oMath>
      </m:oMathPara>
    </w:p>
    <w:p w14:paraId="26B92914" w14:textId="77777777" w:rsidR="00101DE5" w:rsidRDefault="003776CC" w:rsidP="0027539F">
      <w:pPr>
        <w:spacing w:line="360" w:lineRule="auto"/>
        <w:jc w:val="both"/>
        <w:rPr>
          <w:rFonts w:ascii="Times New Roman" w:hAnsi="Times New Roman" w:cs="Times New Roman"/>
          <w:sz w:val="24"/>
          <w:szCs w:val="24"/>
        </w:rPr>
      </w:pPr>
      <w:r w:rsidRPr="006E04D7">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B</m:t>
        </m:r>
      </m:oMath>
      <w:r w:rsidRPr="006E04D7">
        <w:rPr>
          <w:rFonts w:ascii="Times New Roman" w:eastAsiaTheme="minorEastAsia" w:hAnsi="Times New Roman" w:cs="Times New Roman"/>
          <w:sz w:val="24"/>
          <w:szCs w:val="24"/>
        </w:rPr>
        <w:t xml:space="preserve"> is the biomass available, and </w:t>
      </w:r>
      <m:oMath>
        <m:r>
          <w:rPr>
            <w:rFonts w:ascii="Cambria Math" w:eastAsiaTheme="minorEastAsia" w:hAnsi="Cambria Math" w:cs="Times New Roman"/>
            <w:sz w:val="24"/>
            <w:szCs w:val="24"/>
          </w:rPr>
          <m:t>Q</m:t>
        </m:r>
      </m:oMath>
      <w:r w:rsidRPr="006E04D7">
        <w:rPr>
          <w:rFonts w:ascii="Times New Roman" w:eastAsiaTheme="minorEastAsia" w:hAnsi="Times New Roman" w:cs="Times New Roman"/>
          <w:sz w:val="24"/>
          <w:szCs w:val="24"/>
        </w:rPr>
        <w:t xml:space="preserve">  is the level of quota allocated to the region in year t , </w:t>
      </w:r>
      <m:oMath>
        <m:r>
          <w:rPr>
            <w:rFonts w:ascii="Cambria Math" w:eastAsiaTheme="minorEastAsia" w:hAnsi="Cambria Math" w:cs="Times New Roman"/>
            <w:sz w:val="24"/>
            <w:szCs w:val="24"/>
          </w:rPr>
          <m:t>φ</m:t>
        </m:r>
      </m:oMath>
      <w:r w:rsidRPr="006E04D7">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φ'</m:t>
        </m:r>
      </m:oMath>
      <w:r w:rsidRPr="006E04D7">
        <w:rPr>
          <w:rFonts w:ascii="Times New Roman" w:eastAsiaTheme="minorEastAsia" w:hAnsi="Times New Roman" w:cs="Times New Roman"/>
          <w:sz w:val="24"/>
          <w:szCs w:val="24"/>
        </w:rPr>
        <w:t xml:space="preserve"> are the coefficients of the cost and price respectively.</w:t>
      </w:r>
      <w:r w:rsidR="0027539F" w:rsidRPr="006E04D7">
        <w:rPr>
          <w:rFonts w:ascii="Times New Roman" w:eastAsiaTheme="minorEastAsia" w:hAnsi="Times New Roman" w:cs="Times New Roman"/>
          <w:sz w:val="24"/>
          <w:szCs w:val="24"/>
        </w:rPr>
        <w:t xml:space="preserve"> </w:t>
      </w:r>
    </w:p>
    <w:p w14:paraId="7A27F511" w14:textId="77777777" w:rsidR="00DF6E6F" w:rsidRDefault="00202342" w:rsidP="0034582E">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Global optimal solutions were found in </w:t>
      </w:r>
      <w:r w:rsidR="00A3522D">
        <w:rPr>
          <w:rFonts w:ascii="Times New Roman" w:eastAsiaTheme="minorEastAsia" w:hAnsi="Times New Roman" w:cs="Times New Roman"/>
          <w:sz w:val="24"/>
          <w:szCs w:val="24"/>
        </w:rPr>
        <w:t>both</w:t>
      </w:r>
      <w:r>
        <w:rPr>
          <w:rFonts w:ascii="Times New Roman" w:eastAsiaTheme="minorEastAsia" w:hAnsi="Times New Roman" w:cs="Times New Roman"/>
          <w:sz w:val="24"/>
          <w:szCs w:val="24"/>
        </w:rPr>
        <w:t xml:space="preserve"> scenarios</w:t>
      </w:r>
      <w:r w:rsidR="00D95D0F">
        <w:rPr>
          <w:rFonts w:ascii="Times New Roman" w:eastAsiaTheme="minorEastAsia" w:hAnsi="Times New Roman" w:cs="Times New Roman"/>
          <w:sz w:val="24"/>
          <w:szCs w:val="24"/>
        </w:rPr>
        <w:t>.</w:t>
      </w:r>
      <w:r w:rsidR="006B0563">
        <w:rPr>
          <w:rFonts w:ascii="Times New Roman" w:hAnsi="Times New Roman" w:cs="Times New Roman"/>
          <w:sz w:val="24"/>
          <w:szCs w:val="24"/>
        </w:rPr>
        <w:t xml:space="preserve"> M</w:t>
      </w:r>
      <w:r w:rsidR="008D7A6A">
        <w:rPr>
          <w:rFonts w:ascii="Times New Roman" w:hAnsi="Times New Roman" w:cs="Times New Roman"/>
          <w:sz w:val="24"/>
          <w:szCs w:val="24"/>
        </w:rPr>
        <w:t>oratorium intervals are introduced in the model to allow for further stock recovery.</w:t>
      </w:r>
      <w:r w:rsidR="004A4FF7">
        <w:rPr>
          <w:rFonts w:ascii="Times New Roman" w:hAnsi="Times New Roman" w:cs="Times New Roman"/>
          <w:sz w:val="24"/>
          <w:szCs w:val="24"/>
        </w:rPr>
        <w:t xml:space="preserve"> Three discount rates are considered in each </w:t>
      </w:r>
      <w:proofErr w:type="gramStart"/>
      <w:r w:rsidR="004A4FF7">
        <w:rPr>
          <w:rFonts w:ascii="Times New Roman" w:hAnsi="Times New Roman" w:cs="Times New Roman"/>
          <w:sz w:val="24"/>
          <w:szCs w:val="24"/>
        </w:rPr>
        <w:t>scenario(</w:t>
      </w:r>
      <w:proofErr w:type="gramEnd"/>
      <w:r w:rsidR="004A4FF7">
        <w:rPr>
          <w:rFonts w:ascii="Times New Roman" w:hAnsi="Times New Roman" w:cs="Times New Roman"/>
          <w:sz w:val="24"/>
          <w:szCs w:val="24"/>
        </w:rPr>
        <w:t>0.04,0.08,0.1)</w:t>
      </w:r>
      <w:r w:rsidR="008D7A6A">
        <w:rPr>
          <w:rFonts w:ascii="Times New Roman" w:hAnsi="Times New Roman" w:cs="Times New Roman"/>
          <w:sz w:val="24"/>
          <w:szCs w:val="24"/>
        </w:rPr>
        <w:t xml:space="preserve"> </w:t>
      </w:r>
      <w:r w:rsidR="004A4FF7">
        <w:rPr>
          <w:rFonts w:ascii="Times New Roman" w:hAnsi="Times New Roman" w:cs="Times New Roman"/>
          <w:sz w:val="24"/>
          <w:szCs w:val="24"/>
        </w:rPr>
        <w:t>and Tables 2, 3</w:t>
      </w:r>
      <w:r w:rsidR="00FF1A92" w:rsidRPr="006E04D7">
        <w:rPr>
          <w:rFonts w:ascii="Times New Roman" w:hAnsi="Times New Roman" w:cs="Times New Roman"/>
          <w:sz w:val="24"/>
          <w:szCs w:val="24"/>
        </w:rPr>
        <w:t xml:space="preserve"> NPVs are estimated for each gear type</w:t>
      </w:r>
      <w:r w:rsidR="00101DE5">
        <w:rPr>
          <w:rFonts w:ascii="Times New Roman" w:hAnsi="Times New Roman" w:cs="Times New Roman"/>
          <w:sz w:val="24"/>
          <w:szCs w:val="24"/>
        </w:rPr>
        <w:t xml:space="preserve">. </w:t>
      </w:r>
      <w:r w:rsidR="00DF6E6F" w:rsidRPr="006E04D7">
        <w:rPr>
          <w:rFonts w:ascii="Times New Roman" w:hAnsi="Times New Roman" w:cs="Times New Roman"/>
          <w:sz w:val="24"/>
          <w:szCs w:val="24"/>
        </w:rPr>
        <w:t xml:space="preserve">The five main </w:t>
      </w:r>
      <w:proofErr w:type="spellStart"/>
      <w:r w:rsidR="00DF6E6F" w:rsidRPr="006E04D7">
        <w:rPr>
          <w:rFonts w:ascii="Times New Roman" w:hAnsi="Times New Roman" w:cs="Times New Roman"/>
          <w:sz w:val="24"/>
          <w:szCs w:val="24"/>
        </w:rPr>
        <w:t>geartypes</w:t>
      </w:r>
      <w:proofErr w:type="spellEnd"/>
      <w:r w:rsidR="00DF6E6F" w:rsidRPr="006E04D7">
        <w:rPr>
          <w:rFonts w:ascii="Times New Roman" w:hAnsi="Times New Roman" w:cs="Times New Roman"/>
          <w:sz w:val="24"/>
          <w:szCs w:val="24"/>
        </w:rPr>
        <w:t xml:space="preserve"> of PS, BB, LL ,T</w:t>
      </w:r>
      <w:r>
        <w:rPr>
          <w:rFonts w:ascii="Times New Roman" w:hAnsi="Times New Roman" w:cs="Times New Roman"/>
          <w:sz w:val="24"/>
          <w:szCs w:val="24"/>
        </w:rPr>
        <w:t xml:space="preserve">P </w:t>
      </w:r>
      <w:r w:rsidR="00DF6E6F" w:rsidRPr="006E04D7">
        <w:rPr>
          <w:rFonts w:ascii="Times New Roman" w:hAnsi="Times New Roman" w:cs="Times New Roman"/>
          <w:sz w:val="24"/>
          <w:szCs w:val="24"/>
        </w:rPr>
        <w:t xml:space="preserve">and </w:t>
      </w:r>
      <w:r w:rsidR="00F64549">
        <w:rPr>
          <w:rFonts w:ascii="Times New Roman" w:hAnsi="Times New Roman" w:cs="Times New Roman"/>
          <w:sz w:val="24"/>
          <w:szCs w:val="24"/>
        </w:rPr>
        <w:t xml:space="preserve">remainder </w:t>
      </w:r>
      <w:r w:rsidR="00DF6E6F" w:rsidRPr="006E04D7">
        <w:rPr>
          <w:rFonts w:ascii="Times New Roman" w:hAnsi="Times New Roman" w:cs="Times New Roman"/>
          <w:sz w:val="24"/>
          <w:szCs w:val="24"/>
        </w:rPr>
        <w:t>are considered as (</w:t>
      </w:r>
      <m:oMath>
        <m:r>
          <w:rPr>
            <w:rFonts w:ascii="Cambria Math" w:hAnsi="Cambria Math" w:cs="Times New Roman"/>
            <w:sz w:val="24"/>
            <w:szCs w:val="24"/>
          </w:rPr>
          <m:t>i=1,..,5)</m:t>
        </m:r>
      </m:oMath>
      <w:r w:rsidR="00DF6E6F" w:rsidRPr="006E04D7">
        <w:rPr>
          <w:rFonts w:ascii="Times New Roman" w:eastAsiaTheme="minorEastAsia" w:hAnsi="Times New Roman" w:cs="Times New Roman"/>
          <w:sz w:val="24"/>
          <w:szCs w:val="24"/>
        </w:rPr>
        <w:t xml:space="preserve">. </w:t>
      </w:r>
    </w:p>
    <w:p w14:paraId="69F17DF1" w14:textId="77777777" w:rsidR="00FB400E" w:rsidRDefault="00FB400E" w:rsidP="0034582E">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FB400E" w14:paraId="54EEE952" w14:textId="77777777" w:rsidTr="007D411F">
        <w:tc>
          <w:tcPr>
            <w:tcW w:w="1803" w:type="dxa"/>
            <w:vAlign w:val="center"/>
          </w:tcPr>
          <w:p w14:paraId="70796EA0" w14:textId="77777777" w:rsidR="00FB400E" w:rsidRDefault="00FB400E" w:rsidP="007D411F">
            <w:pPr>
              <w:spacing w:line="360" w:lineRule="auto"/>
              <w:jc w:val="center"/>
              <w:rPr>
                <w:rFonts w:ascii="Times New Roman" w:hAnsi="Times New Roman" w:cs="Times New Roman"/>
                <w:sz w:val="24"/>
                <w:szCs w:val="24"/>
              </w:rPr>
            </w:pPr>
            <w:r>
              <w:rPr>
                <w:rFonts w:ascii="Times New Roman" w:hAnsi="Times New Roman" w:cs="Times New Roman"/>
                <w:sz w:val="24"/>
                <w:szCs w:val="24"/>
              </w:rPr>
              <w:t>Period(P*8%)</w:t>
            </w:r>
          </w:p>
          <w:p w14:paraId="7D95D56D" w14:textId="77777777" w:rsidR="00FB400E" w:rsidRDefault="00FB400E" w:rsidP="007D411F">
            <w:pPr>
              <w:spacing w:line="360" w:lineRule="auto"/>
              <w:jc w:val="center"/>
              <w:rPr>
                <w:rFonts w:ascii="Times New Roman" w:hAnsi="Times New Roman" w:cs="Times New Roman"/>
                <w:sz w:val="24"/>
                <w:szCs w:val="24"/>
              </w:rPr>
            </w:pPr>
          </w:p>
        </w:tc>
        <w:tc>
          <w:tcPr>
            <w:tcW w:w="1803" w:type="dxa"/>
            <w:vAlign w:val="center"/>
          </w:tcPr>
          <w:p w14:paraId="7829A69D" w14:textId="77777777" w:rsidR="00FB400E" w:rsidRDefault="004A4FF7" w:rsidP="007D411F">
            <w:pPr>
              <w:spacing w:line="360" w:lineRule="auto"/>
              <w:jc w:val="center"/>
              <w:rPr>
                <w:rFonts w:ascii="Times New Roman" w:hAnsi="Times New Roman" w:cs="Times New Roman"/>
                <w:sz w:val="24"/>
                <w:szCs w:val="24"/>
              </w:rPr>
            </w:pPr>
            <w:r>
              <w:rPr>
                <w:rFonts w:ascii="Times New Roman" w:hAnsi="Times New Roman" w:cs="Times New Roman"/>
                <w:sz w:val="24"/>
                <w:szCs w:val="24"/>
              </w:rPr>
              <w:t>Ideal gear types</w:t>
            </w:r>
          </w:p>
        </w:tc>
        <w:tc>
          <w:tcPr>
            <w:tcW w:w="1803" w:type="dxa"/>
            <w:vAlign w:val="center"/>
          </w:tcPr>
          <w:p w14:paraId="70E9C427" w14:textId="77777777" w:rsidR="00FB400E" w:rsidRDefault="00FB400E" w:rsidP="007D411F">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1803" w:type="dxa"/>
            <w:vAlign w:val="center"/>
          </w:tcPr>
          <w:p w14:paraId="5316F464" w14:textId="77777777" w:rsidR="00FB400E" w:rsidRDefault="00FB400E" w:rsidP="007D411F">
            <w:pPr>
              <w:spacing w:line="360" w:lineRule="auto"/>
              <w:jc w:val="center"/>
              <w:rPr>
                <w:rFonts w:ascii="Times New Roman" w:hAnsi="Times New Roman" w:cs="Times New Roman"/>
                <w:sz w:val="24"/>
                <w:szCs w:val="24"/>
              </w:rPr>
            </w:pPr>
            <w:r>
              <w:rPr>
                <w:rFonts w:ascii="Times New Roman" w:hAnsi="Times New Roman" w:cs="Times New Roman"/>
                <w:sz w:val="24"/>
                <w:szCs w:val="24"/>
              </w:rPr>
              <w:t>NPVT (mill $)</w:t>
            </w:r>
          </w:p>
        </w:tc>
        <w:tc>
          <w:tcPr>
            <w:tcW w:w="1804" w:type="dxa"/>
            <w:vAlign w:val="center"/>
          </w:tcPr>
          <w:p w14:paraId="32AA93A5" w14:textId="77777777" w:rsidR="00FB400E" w:rsidRDefault="00FB400E" w:rsidP="007D411F">
            <w:pPr>
              <w:spacing w:line="360" w:lineRule="auto"/>
              <w:jc w:val="center"/>
              <w:rPr>
                <w:rFonts w:ascii="Times New Roman" w:hAnsi="Times New Roman" w:cs="Times New Roman"/>
                <w:sz w:val="24"/>
                <w:szCs w:val="24"/>
              </w:rPr>
            </w:pPr>
            <w:r>
              <w:rPr>
                <w:rFonts w:ascii="Times New Roman" w:hAnsi="Times New Roman" w:cs="Times New Roman"/>
                <w:sz w:val="24"/>
                <w:szCs w:val="24"/>
              </w:rPr>
              <w:t>moratorium period</w:t>
            </w:r>
          </w:p>
        </w:tc>
      </w:tr>
      <w:tr w:rsidR="00FB400E" w14:paraId="46F121CA" w14:textId="77777777" w:rsidTr="007D411F">
        <w:tc>
          <w:tcPr>
            <w:tcW w:w="1803" w:type="dxa"/>
          </w:tcPr>
          <w:p w14:paraId="6C79DA75"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1995-2060</w:t>
            </w:r>
          </w:p>
        </w:tc>
        <w:tc>
          <w:tcPr>
            <w:tcW w:w="1803" w:type="dxa"/>
          </w:tcPr>
          <w:p w14:paraId="19BEBB62"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Purse seine, trap</w:t>
            </w:r>
          </w:p>
        </w:tc>
        <w:tc>
          <w:tcPr>
            <w:tcW w:w="1803" w:type="dxa"/>
          </w:tcPr>
          <w:p w14:paraId="45276243"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1803" w:type="dxa"/>
          </w:tcPr>
          <w:p w14:paraId="12F17F02" w14:textId="77777777" w:rsidR="00FB400E" w:rsidRDefault="00CF04CD" w:rsidP="00CF04CD">
            <w:pPr>
              <w:spacing w:line="360" w:lineRule="auto"/>
              <w:jc w:val="both"/>
              <w:rPr>
                <w:rFonts w:ascii="Times New Roman" w:hAnsi="Times New Roman" w:cs="Times New Roman"/>
                <w:sz w:val="24"/>
                <w:szCs w:val="24"/>
              </w:rPr>
            </w:pPr>
            <w:r>
              <w:rPr>
                <w:rFonts w:ascii="Times New Roman" w:hAnsi="Times New Roman" w:cs="Times New Roman"/>
                <w:sz w:val="24"/>
                <w:szCs w:val="24"/>
              </w:rPr>
              <w:t>1716</w:t>
            </w:r>
          </w:p>
        </w:tc>
        <w:tc>
          <w:tcPr>
            <w:tcW w:w="1804" w:type="dxa"/>
          </w:tcPr>
          <w:p w14:paraId="55A21AF6"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15 years</w:t>
            </w:r>
          </w:p>
        </w:tc>
      </w:tr>
      <w:tr w:rsidR="00FB400E" w14:paraId="165DCF22" w14:textId="77777777" w:rsidTr="007D411F">
        <w:tc>
          <w:tcPr>
            <w:tcW w:w="1803" w:type="dxa"/>
          </w:tcPr>
          <w:p w14:paraId="2BAA14BB"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1995-2060</w:t>
            </w:r>
          </w:p>
        </w:tc>
        <w:tc>
          <w:tcPr>
            <w:tcW w:w="1803" w:type="dxa"/>
          </w:tcPr>
          <w:p w14:paraId="36EA1550"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Purse seine, trap</w:t>
            </w:r>
          </w:p>
        </w:tc>
        <w:tc>
          <w:tcPr>
            <w:tcW w:w="1803" w:type="dxa"/>
          </w:tcPr>
          <w:p w14:paraId="4D406D90"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0.08</w:t>
            </w:r>
          </w:p>
        </w:tc>
        <w:tc>
          <w:tcPr>
            <w:tcW w:w="1803" w:type="dxa"/>
          </w:tcPr>
          <w:p w14:paraId="3BB7FC70" w14:textId="77777777" w:rsidR="00FB400E" w:rsidRDefault="00CF04CD"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2302</w:t>
            </w:r>
          </w:p>
        </w:tc>
        <w:tc>
          <w:tcPr>
            <w:tcW w:w="1804" w:type="dxa"/>
          </w:tcPr>
          <w:p w14:paraId="1C5C2756"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15 years</w:t>
            </w:r>
          </w:p>
        </w:tc>
      </w:tr>
      <w:tr w:rsidR="00FB400E" w14:paraId="5C7ACEDC" w14:textId="77777777" w:rsidTr="007D411F">
        <w:tc>
          <w:tcPr>
            <w:tcW w:w="1803" w:type="dxa"/>
          </w:tcPr>
          <w:p w14:paraId="27E00A5E"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1995-2060</w:t>
            </w:r>
          </w:p>
        </w:tc>
        <w:tc>
          <w:tcPr>
            <w:tcW w:w="1803" w:type="dxa"/>
          </w:tcPr>
          <w:p w14:paraId="58FA88C5"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Purse seine, trap</w:t>
            </w:r>
          </w:p>
        </w:tc>
        <w:tc>
          <w:tcPr>
            <w:tcW w:w="1803" w:type="dxa"/>
          </w:tcPr>
          <w:p w14:paraId="1E5DD87E"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0.04</w:t>
            </w:r>
          </w:p>
        </w:tc>
        <w:tc>
          <w:tcPr>
            <w:tcW w:w="1803" w:type="dxa"/>
          </w:tcPr>
          <w:p w14:paraId="114714F8" w14:textId="77777777" w:rsidR="00FB400E" w:rsidRDefault="00CF04CD"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6401</w:t>
            </w:r>
          </w:p>
        </w:tc>
        <w:tc>
          <w:tcPr>
            <w:tcW w:w="1804" w:type="dxa"/>
          </w:tcPr>
          <w:p w14:paraId="6EFC3499" w14:textId="77777777" w:rsidR="00FB400E" w:rsidRDefault="00FB400E" w:rsidP="00FB400E">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15 years</w:t>
            </w:r>
          </w:p>
        </w:tc>
      </w:tr>
    </w:tbl>
    <w:p w14:paraId="6E5EC2BC" w14:textId="77777777" w:rsidR="00FB400E" w:rsidRDefault="00FB400E" w:rsidP="00FB400E">
      <w:pPr>
        <w:pStyle w:val="Caption"/>
        <w:rPr>
          <w:rFonts w:ascii="Times New Roman" w:hAnsi="Times New Roman" w:cs="Times New Roman"/>
          <w:sz w:val="24"/>
          <w:szCs w:val="24"/>
        </w:rPr>
      </w:pPr>
      <w:r>
        <w:t xml:space="preserve">Table </w:t>
      </w:r>
      <w:fldSimple w:instr=" SEQ Table \* ARABIC ">
        <w:r w:rsidR="00563C86">
          <w:rPr>
            <w:noProof/>
          </w:rPr>
          <w:t>2</w:t>
        </w:r>
      </w:fldSimple>
      <w:r>
        <w:t>: NPV 1995-2060</w:t>
      </w:r>
    </w:p>
    <w:tbl>
      <w:tblPr>
        <w:tblStyle w:val="TableGrid"/>
        <w:tblW w:w="0" w:type="auto"/>
        <w:tblLook w:val="04A0" w:firstRow="1" w:lastRow="0" w:firstColumn="1" w:lastColumn="0" w:noHBand="0" w:noVBand="1"/>
      </w:tblPr>
      <w:tblGrid>
        <w:gridCol w:w="1803"/>
        <w:gridCol w:w="1803"/>
        <w:gridCol w:w="1803"/>
        <w:gridCol w:w="1803"/>
        <w:gridCol w:w="1804"/>
      </w:tblGrid>
      <w:tr w:rsidR="00FB400E" w14:paraId="4DAFD9FA" w14:textId="77777777" w:rsidTr="007D411F">
        <w:tc>
          <w:tcPr>
            <w:tcW w:w="1803" w:type="dxa"/>
            <w:vAlign w:val="center"/>
          </w:tcPr>
          <w:p w14:paraId="446186F4" w14:textId="77777777" w:rsidR="00FB400E" w:rsidRDefault="00FB400E" w:rsidP="007D411F">
            <w:pPr>
              <w:spacing w:line="360" w:lineRule="auto"/>
              <w:jc w:val="center"/>
              <w:rPr>
                <w:rFonts w:ascii="Times New Roman" w:hAnsi="Times New Roman" w:cs="Times New Roman"/>
                <w:sz w:val="24"/>
                <w:szCs w:val="24"/>
              </w:rPr>
            </w:pPr>
            <w:r>
              <w:rPr>
                <w:rFonts w:ascii="Times New Roman" w:hAnsi="Times New Roman" w:cs="Times New Roman"/>
                <w:sz w:val="24"/>
                <w:szCs w:val="24"/>
              </w:rPr>
              <w:t>Period(P*8%)</w:t>
            </w:r>
          </w:p>
          <w:p w14:paraId="6C8324C4" w14:textId="77777777" w:rsidR="00FB400E" w:rsidRDefault="00FB400E" w:rsidP="007D411F">
            <w:pPr>
              <w:spacing w:line="360" w:lineRule="auto"/>
              <w:jc w:val="center"/>
              <w:rPr>
                <w:rFonts w:ascii="Times New Roman" w:hAnsi="Times New Roman" w:cs="Times New Roman"/>
                <w:sz w:val="24"/>
                <w:szCs w:val="24"/>
              </w:rPr>
            </w:pPr>
          </w:p>
        </w:tc>
        <w:tc>
          <w:tcPr>
            <w:tcW w:w="1803" w:type="dxa"/>
            <w:vAlign w:val="center"/>
          </w:tcPr>
          <w:p w14:paraId="7E266324" w14:textId="77777777" w:rsidR="00FB400E" w:rsidRDefault="004A4FF7" w:rsidP="007D411F">
            <w:pPr>
              <w:spacing w:line="360" w:lineRule="auto"/>
              <w:jc w:val="center"/>
              <w:rPr>
                <w:rFonts w:ascii="Times New Roman" w:hAnsi="Times New Roman" w:cs="Times New Roman"/>
                <w:sz w:val="24"/>
                <w:szCs w:val="24"/>
              </w:rPr>
            </w:pPr>
            <w:r>
              <w:rPr>
                <w:rFonts w:ascii="Times New Roman" w:hAnsi="Times New Roman" w:cs="Times New Roman"/>
                <w:sz w:val="24"/>
                <w:szCs w:val="24"/>
              </w:rPr>
              <w:t>Ideal gear types</w:t>
            </w:r>
          </w:p>
        </w:tc>
        <w:tc>
          <w:tcPr>
            <w:tcW w:w="1803" w:type="dxa"/>
            <w:vAlign w:val="center"/>
          </w:tcPr>
          <w:p w14:paraId="21B66AAB" w14:textId="77777777" w:rsidR="00FB400E" w:rsidRDefault="00FB400E" w:rsidP="007D411F">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1803" w:type="dxa"/>
            <w:vAlign w:val="center"/>
          </w:tcPr>
          <w:p w14:paraId="6E26EF12" w14:textId="77777777" w:rsidR="00FB400E" w:rsidRDefault="00FB400E" w:rsidP="007D411F">
            <w:pPr>
              <w:spacing w:line="360" w:lineRule="auto"/>
              <w:jc w:val="center"/>
              <w:rPr>
                <w:rFonts w:ascii="Times New Roman" w:hAnsi="Times New Roman" w:cs="Times New Roman"/>
                <w:sz w:val="24"/>
                <w:szCs w:val="24"/>
              </w:rPr>
            </w:pPr>
            <w:r>
              <w:rPr>
                <w:rFonts w:ascii="Times New Roman" w:hAnsi="Times New Roman" w:cs="Times New Roman"/>
                <w:sz w:val="24"/>
                <w:szCs w:val="24"/>
              </w:rPr>
              <w:t>NPVT (mill $)</w:t>
            </w:r>
          </w:p>
        </w:tc>
        <w:tc>
          <w:tcPr>
            <w:tcW w:w="1804" w:type="dxa"/>
            <w:vAlign w:val="center"/>
          </w:tcPr>
          <w:p w14:paraId="66AE7448" w14:textId="77777777" w:rsidR="00FB400E" w:rsidRDefault="00FB400E" w:rsidP="007D411F">
            <w:pPr>
              <w:spacing w:line="360" w:lineRule="auto"/>
              <w:jc w:val="center"/>
              <w:rPr>
                <w:rFonts w:ascii="Times New Roman" w:hAnsi="Times New Roman" w:cs="Times New Roman"/>
                <w:sz w:val="24"/>
                <w:szCs w:val="24"/>
              </w:rPr>
            </w:pPr>
            <w:r>
              <w:rPr>
                <w:rFonts w:ascii="Times New Roman" w:hAnsi="Times New Roman" w:cs="Times New Roman"/>
                <w:sz w:val="24"/>
                <w:szCs w:val="24"/>
              </w:rPr>
              <w:t>moratorium period</w:t>
            </w:r>
          </w:p>
        </w:tc>
      </w:tr>
      <w:tr w:rsidR="00FB400E" w14:paraId="16B8356C" w14:textId="77777777" w:rsidTr="007D411F">
        <w:tc>
          <w:tcPr>
            <w:tcW w:w="1803" w:type="dxa"/>
          </w:tcPr>
          <w:p w14:paraId="6E4A3445" w14:textId="77777777" w:rsidR="00FB400E" w:rsidRDefault="00FB400E" w:rsidP="00FB400E">
            <w:pPr>
              <w:spacing w:line="360" w:lineRule="auto"/>
              <w:jc w:val="both"/>
              <w:rPr>
                <w:rFonts w:ascii="Times New Roman" w:hAnsi="Times New Roman" w:cs="Times New Roman"/>
                <w:sz w:val="24"/>
                <w:szCs w:val="24"/>
              </w:rPr>
            </w:pPr>
            <w:r>
              <w:rPr>
                <w:rFonts w:ascii="Times New Roman" w:hAnsi="Times New Roman" w:cs="Times New Roman"/>
                <w:sz w:val="24"/>
                <w:szCs w:val="24"/>
              </w:rPr>
              <w:t>1995-2100</w:t>
            </w:r>
          </w:p>
        </w:tc>
        <w:tc>
          <w:tcPr>
            <w:tcW w:w="1803" w:type="dxa"/>
          </w:tcPr>
          <w:p w14:paraId="2FC41CD9"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Purse seine, trap</w:t>
            </w:r>
          </w:p>
        </w:tc>
        <w:tc>
          <w:tcPr>
            <w:tcW w:w="1803" w:type="dxa"/>
          </w:tcPr>
          <w:p w14:paraId="11938C53"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1803" w:type="dxa"/>
          </w:tcPr>
          <w:p w14:paraId="647AF74F" w14:textId="77777777" w:rsidR="00FB400E" w:rsidRDefault="00CF04CD"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1978</w:t>
            </w:r>
          </w:p>
        </w:tc>
        <w:tc>
          <w:tcPr>
            <w:tcW w:w="1804" w:type="dxa"/>
          </w:tcPr>
          <w:p w14:paraId="5C6E8384"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25 years</w:t>
            </w:r>
          </w:p>
        </w:tc>
      </w:tr>
      <w:tr w:rsidR="00FB400E" w14:paraId="34CC7CDD" w14:textId="77777777" w:rsidTr="007D411F">
        <w:tc>
          <w:tcPr>
            <w:tcW w:w="1803" w:type="dxa"/>
          </w:tcPr>
          <w:p w14:paraId="33E63B3D" w14:textId="77777777" w:rsidR="00FB400E" w:rsidRDefault="00FB400E" w:rsidP="00FB400E">
            <w:pPr>
              <w:spacing w:line="360" w:lineRule="auto"/>
              <w:jc w:val="both"/>
              <w:rPr>
                <w:rFonts w:ascii="Times New Roman" w:hAnsi="Times New Roman" w:cs="Times New Roman"/>
                <w:sz w:val="24"/>
                <w:szCs w:val="24"/>
              </w:rPr>
            </w:pPr>
            <w:r>
              <w:rPr>
                <w:rFonts w:ascii="Times New Roman" w:hAnsi="Times New Roman" w:cs="Times New Roman"/>
                <w:sz w:val="24"/>
                <w:szCs w:val="24"/>
              </w:rPr>
              <w:t>1995-2100</w:t>
            </w:r>
          </w:p>
        </w:tc>
        <w:tc>
          <w:tcPr>
            <w:tcW w:w="1803" w:type="dxa"/>
          </w:tcPr>
          <w:p w14:paraId="227B662F"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Purse seine, trap</w:t>
            </w:r>
          </w:p>
        </w:tc>
        <w:tc>
          <w:tcPr>
            <w:tcW w:w="1803" w:type="dxa"/>
          </w:tcPr>
          <w:p w14:paraId="730BD670"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0.08</w:t>
            </w:r>
          </w:p>
        </w:tc>
        <w:tc>
          <w:tcPr>
            <w:tcW w:w="1803" w:type="dxa"/>
          </w:tcPr>
          <w:p w14:paraId="282E7DD3" w14:textId="77777777" w:rsidR="00FB400E" w:rsidRDefault="00CF04CD"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3433</w:t>
            </w:r>
          </w:p>
        </w:tc>
        <w:tc>
          <w:tcPr>
            <w:tcW w:w="1804" w:type="dxa"/>
          </w:tcPr>
          <w:p w14:paraId="1A9DDA4D"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25 years</w:t>
            </w:r>
          </w:p>
        </w:tc>
      </w:tr>
      <w:tr w:rsidR="00FB400E" w14:paraId="0898B621" w14:textId="77777777" w:rsidTr="007D411F">
        <w:tc>
          <w:tcPr>
            <w:tcW w:w="1803" w:type="dxa"/>
          </w:tcPr>
          <w:p w14:paraId="23DEE94D" w14:textId="77777777" w:rsidR="00FB400E" w:rsidRDefault="00FB400E" w:rsidP="00FB400E">
            <w:pPr>
              <w:spacing w:line="360" w:lineRule="auto"/>
              <w:jc w:val="both"/>
              <w:rPr>
                <w:rFonts w:ascii="Times New Roman" w:hAnsi="Times New Roman" w:cs="Times New Roman"/>
                <w:sz w:val="24"/>
                <w:szCs w:val="24"/>
              </w:rPr>
            </w:pPr>
            <w:r>
              <w:rPr>
                <w:rFonts w:ascii="Times New Roman" w:hAnsi="Times New Roman" w:cs="Times New Roman"/>
                <w:sz w:val="24"/>
                <w:szCs w:val="24"/>
              </w:rPr>
              <w:t>1995-2100</w:t>
            </w:r>
          </w:p>
        </w:tc>
        <w:tc>
          <w:tcPr>
            <w:tcW w:w="1803" w:type="dxa"/>
          </w:tcPr>
          <w:p w14:paraId="39A8FF99"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Purse seine, trap</w:t>
            </w:r>
          </w:p>
        </w:tc>
        <w:tc>
          <w:tcPr>
            <w:tcW w:w="1803" w:type="dxa"/>
          </w:tcPr>
          <w:p w14:paraId="23625525" w14:textId="77777777" w:rsidR="00FB400E" w:rsidRDefault="00FB400E"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0.04</w:t>
            </w:r>
          </w:p>
        </w:tc>
        <w:tc>
          <w:tcPr>
            <w:tcW w:w="1803" w:type="dxa"/>
          </w:tcPr>
          <w:p w14:paraId="0E6927A3" w14:textId="77777777" w:rsidR="00FB400E" w:rsidRDefault="00CF04CD" w:rsidP="007D411F">
            <w:pPr>
              <w:spacing w:line="360" w:lineRule="auto"/>
              <w:jc w:val="both"/>
              <w:rPr>
                <w:rFonts w:ascii="Times New Roman" w:hAnsi="Times New Roman" w:cs="Times New Roman"/>
                <w:sz w:val="24"/>
                <w:szCs w:val="24"/>
              </w:rPr>
            </w:pPr>
            <w:r>
              <w:rPr>
                <w:rFonts w:ascii="Times New Roman" w:hAnsi="Times New Roman" w:cs="Times New Roman"/>
                <w:sz w:val="24"/>
                <w:szCs w:val="24"/>
              </w:rPr>
              <w:t>33625</w:t>
            </w:r>
          </w:p>
        </w:tc>
        <w:tc>
          <w:tcPr>
            <w:tcW w:w="1804" w:type="dxa"/>
          </w:tcPr>
          <w:p w14:paraId="73225EB8" w14:textId="77777777" w:rsidR="00FB400E" w:rsidRDefault="00FB400E" w:rsidP="00FB400E">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25 years</w:t>
            </w:r>
          </w:p>
        </w:tc>
      </w:tr>
    </w:tbl>
    <w:p w14:paraId="658FB813" w14:textId="77777777" w:rsidR="006B0563" w:rsidRDefault="00FB400E" w:rsidP="00FB400E">
      <w:pPr>
        <w:pStyle w:val="Caption"/>
        <w:rPr>
          <w:rFonts w:ascii="Times New Roman" w:hAnsi="Times New Roman" w:cs="Times New Roman"/>
          <w:sz w:val="24"/>
          <w:szCs w:val="24"/>
        </w:rPr>
      </w:pPr>
      <w:r>
        <w:t xml:space="preserve">Table </w:t>
      </w:r>
      <w:fldSimple w:instr=" SEQ Table \* ARABIC ">
        <w:r w:rsidR="00563C86">
          <w:rPr>
            <w:noProof/>
          </w:rPr>
          <w:t>3</w:t>
        </w:r>
      </w:fldSimple>
      <w:r>
        <w:t>:NPV 1995-2100</w:t>
      </w:r>
    </w:p>
    <w:p w14:paraId="5595918F" w14:textId="13D824E4" w:rsidR="006B0563" w:rsidRDefault="006B0563" w:rsidP="0034582E">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In the first scenario, </w:t>
      </w:r>
      <w:r>
        <w:rPr>
          <w:rFonts w:ascii="Times New Roman" w:hAnsi="Times New Roman" w:cs="Times New Roman"/>
          <w:sz w:val="24"/>
          <w:szCs w:val="24"/>
        </w:rPr>
        <w:t>t</w:t>
      </w:r>
      <w:r w:rsidRPr="006E04D7">
        <w:rPr>
          <w:rFonts w:ascii="Times New Roman" w:hAnsi="Times New Roman" w:cs="Times New Roman"/>
          <w:sz w:val="24"/>
          <w:szCs w:val="24"/>
        </w:rPr>
        <w:t>he base year for the optimisation is 1995 and the Last year is 2060.</w:t>
      </w:r>
      <w:r>
        <w:rPr>
          <w:rFonts w:ascii="Times New Roman" w:hAnsi="Times New Roman" w:cs="Times New Roman"/>
          <w:sz w:val="24"/>
          <w:szCs w:val="24"/>
        </w:rPr>
        <w:t xml:space="preserve"> In the second scenario, the base year is 1995 and the last year is 2100. It can be viewed from the results that in the first scenario, and assuming a 15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moratorium period, </w:t>
      </w:r>
      <w:proofErr w:type="spellStart"/>
      <w:r>
        <w:rPr>
          <w:rFonts w:ascii="Times New Roman" w:hAnsi="Times New Roman" w:cs="Times New Roman"/>
          <w:sz w:val="24"/>
          <w:szCs w:val="24"/>
        </w:rPr>
        <w:t>geartypes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purseseine</w:t>
      </w:r>
      <w:proofErr w:type="spellEnd"/>
      <w:r>
        <w:rPr>
          <w:rFonts w:ascii="Times New Roman" w:hAnsi="Times New Roman" w:cs="Times New Roman"/>
          <w:sz w:val="24"/>
          <w:szCs w:val="24"/>
        </w:rPr>
        <w:t xml:space="preserve">, trap and </w:t>
      </w:r>
      <w:proofErr w:type="spellStart"/>
      <w:r>
        <w:rPr>
          <w:rFonts w:ascii="Times New Roman" w:hAnsi="Times New Roman" w:cs="Times New Roman"/>
          <w:sz w:val="24"/>
          <w:szCs w:val="24"/>
        </w:rPr>
        <w:t>baitboat</w:t>
      </w:r>
      <w:proofErr w:type="spellEnd"/>
      <w:r>
        <w:rPr>
          <w:rFonts w:ascii="Times New Roman" w:hAnsi="Times New Roman" w:cs="Times New Roman"/>
          <w:sz w:val="24"/>
          <w:szCs w:val="24"/>
        </w:rPr>
        <w:t xml:space="preserve"> are selected. In the second scenario, and assuming a moratorium period of 25 years, </w:t>
      </w:r>
      <w:r w:rsidR="00CF04CD">
        <w:rPr>
          <w:rFonts w:ascii="Times New Roman" w:hAnsi="Times New Roman" w:cs="Times New Roman"/>
          <w:sz w:val="24"/>
          <w:szCs w:val="24"/>
        </w:rPr>
        <w:t>also purse seine and trap are selected</w:t>
      </w:r>
      <w:r>
        <w:rPr>
          <w:rFonts w:ascii="Times New Roman" w:hAnsi="Times New Roman" w:cs="Times New Roman"/>
          <w:sz w:val="24"/>
          <w:szCs w:val="24"/>
        </w:rPr>
        <w:t xml:space="preserve">. </w:t>
      </w:r>
      <w:r w:rsidR="00CF04CD">
        <w:rPr>
          <w:rFonts w:ascii="Times New Roman" w:hAnsi="Times New Roman" w:cs="Times New Roman"/>
          <w:sz w:val="24"/>
          <w:szCs w:val="24"/>
        </w:rPr>
        <w:t xml:space="preserve">Under the current assumptions, the Longline, remainder and bait boat method were not selected in any scenario. For LL and remainder this could be due to the fact that both methods </w:t>
      </w:r>
      <w:proofErr w:type="gramStart"/>
      <w:r w:rsidR="00CF04CD">
        <w:rPr>
          <w:rFonts w:ascii="Times New Roman" w:hAnsi="Times New Roman" w:cs="Times New Roman"/>
          <w:sz w:val="24"/>
          <w:szCs w:val="24"/>
        </w:rPr>
        <w:t>has</w:t>
      </w:r>
      <w:proofErr w:type="gramEnd"/>
      <w:r w:rsidR="00CF04CD">
        <w:rPr>
          <w:rFonts w:ascii="Times New Roman" w:hAnsi="Times New Roman" w:cs="Times New Roman"/>
          <w:sz w:val="24"/>
          <w:szCs w:val="24"/>
        </w:rPr>
        <w:t xml:space="preserve"> a much higher number of effort days leading to higher cost, furthermore </w:t>
      </w:r>
      <w:proofErr w:type="spellStart"/>
      <w:r w:rsidR="00CF04CD">
        <w:rPr>
          <w:rFonts w:ascii="Times New Roman" w:hAnsi="Times New Roman" w:cs="Times New Roman"/>
          <w:sz w:val="24"/>
          <w:szCs w:val="24"/>
        </w:rPr>
        <w:t>baitboat</w:t>
      </w:r>
      <w:proofErr w:type="spellEnd"/>
      <w:r w:rsidR="00CF04CD">
        <w:rPr>
          <w:rFonts w:ascii="Times New Roman" w:hAnsi="Times New Roman" w:cs="Times New Roman"/>
          <w:sz w:val="24"/>
          <w:szCs w:val="24"/>
        </w:rPr>
        <w:t xml:space="preserve"> has much lower catch capacity and therefore lack economy of scale compared with other method. </w:t>
      </w:r>
    </w:p>
    <w:p w14:paraId="65FE00ED" w14:textId="77777777" w:rsidR="006B0563" w:rsidRPr="00101DE5" w:rsidRDefault="006B0563" w:rsidP="0034582E">
      <w:pPr>
        <w:spacing w:line="360" w:lineRule="auto"/>
        <w:jc w:val="both"/>
        <w:rPr>
          <w:rFonts w:ascii="Times New Roman" w:hAnsi="Times New Roman" w:cs="Times New Roman"/>
          <w:sz w:val="24"/>
          <w:szCs w:val="24"/>
        </w:rPr>
      </w:pPr>
      <w:r>
        <w:rPr>
          <w:rFonts w:ascii="Times New Roman" w:hAnsi="Times New Roman" w:cs="Times New Roman"/>
          <w:sz w:val="24"/>
          <w:szCs w:val="24"/>
        </w:rPr>
        <w:t>These results also confirm the results earlier found in</w:t>
      </w:r>
      <w:r w:rsidR="00CB233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Bjornal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Brasao</w:t>
      </w:r>
      <w:proofErr w:type="spellEnd"/>
      <w:r w:rsidR="00CB2334">
        <w:rPr>
          <w:rFonts w:ascii="Times New Roman" w:hAnsi="Times New Roman" w:cs="Times New Roman"/>
          <w:sz w:val="24"/>
          <w:szCs w:val="24"/>
        </w:rPr>
        <w:fldChar w:fldCharType="begin"/>
      </w:r>
      <w:r w:rsidR="00CB2334">
        <w:rPr>
          <w:rFonts w:ascii="Times New Roman" w:hAnsi="Times New Roman" w:cs="Times New Roman"/>
          <w:sz w:val="24"/>
          <w:szCs w:val="24"/>
        </w:rPr>
        <w:instrText xml:space="preserve"> ADDIN EN.CITE &lt;EndNote&gt;&lt;Cite&gt;&lt;Author&gt;Bjorndal&lt;/Author&gt;&lt;Year&gt;2006&lt;/Year&gt;&lt;RecNum&gt;297&lt;/RecNum&gt;&lt;DisplayText&gt;[23]&lt;/DisplayText&gt;&lt;record&gt;&lt;rec-number&gt;297&lt;/rec-number&gt;&lt;foreign-keys&gt;&lt;key app="EN" db-id="wffdwdt97adpw0eeedr5t2wbdwf5etardpas"&gt;297&lt;/key&gt;&lt;/foreign-keys&gt;&lt;ref-type name="Journal Article"&gt;17&lt;/ref-type&gt;&lt;contributors&gt;&lt;authors&gt;&lt;author&gt;Bjorndal,T. &lt;/author&gt;&lt;author&gt;Brasao, A. &lt;/author&gt;&lt;/authors&gt;&lt;/contributors&gt;&lt;titles&gt;&lt;title&gt;The East Atlantic Bluefin Tuna Fisheries: Stock Collapse or recovery&lt;/title&gt;&lt;secondary-title&gt;Marine Resource Economics&lt;/secondary-title&gt;&lt;/titles&gt;&lt;periodical&gt;&lt;full-title&gt;Marine Resource Economics&lt;/full-title&gt;&lt;/periodical&gt;&lt;pages&gt;193-210&lt;/pages&gt;&lt;volume&gt;21&lt;/volume&gt;&lt;dates&gt;&lt;year&gt;2006&lt;/year&gt;&lt;/dates&gt;&lt;urls&gt;&lt;/urls&gt;&lt;/record&gt;&lt;/Cite&gt;&lt;/EndNote&gt;</w:instrText>
      </w:r>
      <w:r w:rsidR="00CB2334">
        <w:rPr>
          <w:rFonts w:ascii="Times New Roman" w:hAnsi="Times New Roman" w:cs="Times New Roman"/>
          <w:sz w:val="24"/>
          <w:szCs w:val="24"/>
        </w:rPr>
        <w:fldChar w:fldCharType="separate"/>
      </w:r>
      <w:r w:rsidR="00CB2334">
        <w:rPr>
          <w:rFonts w:ascii="Times New Roman" w:hAnsi="Times New Roman" w:cs="Times New Roman"/>
          <w:noProof/>
          <w:sz w:val="24"/>
          <w:szCs w:val="24"/>
        </w:rPr>
        <w:t>[</w:t>
      </w:r>
      <w:hyperlink w:anchor="_ENREF_23" w:tooltip="Bjorndal, 2006 #297" w:history="1">
        <w:r w:rsidR="00CB2334">
          <w:rPr>
            <w:rFonts w:ascii="Times New Roman" w:hAnsi="Times New Roman" w:cs="Times New Roman"/>
            <w:noProof/>
            <w:sz w:val="24"/>
            <w:szCs w:val="24"/>
          </w:rPr>
          <w:t>23</w:t>
        </w:r>
      </w:hyperlink>
      <w:r w:rsidR="00CB2334">
        <w:rPr>
          <w:rFonts w:ascii="Times New Roman" w:hAnsi="Times New Roman" w:cs="Times New Roman"/>
          <w:noProof/>
          <w:sz w:val="24"/>
          <w:szCs w:val="24"/>
        </w:rPr>
        <w:t>]</w:t>
      </w:r>
      <w:r w:rsidR="00CB2334">
        <w:rPr>
          <w:rFonts w:ascii="Times New Roman" w:hAnsi="Times New Roman" w:cs="Times New Roman"/>
          <w:sz w:val="24"/>
          <w:szCs w:val="24"/>
        </w:rPr>
        <w:fldChar w:fldCharType="end"/>
      </w:r>
      <w:r>
        <w:rPr>
          <w:rFonts w:ascii="Times New Roman" w:hAnsi="Times New Roman" w:cs="Times New Roman"/>
          <w:sz w:val="24"/>
          <w:szCs w:val="24"/>
        </w:rPr>
        <w:t xml:space="preserve"> which shows that in the longer term, </w:t>
      </w:r>
      <w:r w:rsidR="00CF04CD">
        <w:rPr>
          <w:rFonts w:ascii="Times New Roman" w:hAnsi="Times New Roman" w:cs="Times New Roman"/>
          <w:sz w:val="24"/>
          <w:szCs w:val="24"/>
        </w:rPr>
        <w:t xml:space="preserve">the trap method will continue to be the most sustainable method </w:t>
      </w:r>
      <w:r w:rsidR="00E9102B">
        <w:rPr>
          <w:rFonts w:ascii="Times New Roman" w:hAnsi="Times New Roman" w:cs="Times New Roman"/>
          <w:sz w:val="24"/>
          <w:szCs w:val="24"/>
        </w:rPr>
        <w:t xml:space="preserve">and that the </w:t>
      </w:r>
      <w:proofErr w:type="spellStart"/>
      <w:r w:rsidR="00E9102B">
        <w:rPr>
          <w:rFonts w:ascii="Times New Roman" w:hAnsi="Times New Roman" w:cs="Times New Roman"/>
          <w:sz w:val="24"/>
          <w:szCs w:val="24"/>
        </w:rPr>
        <w:t>baitboat</w:t>
      </w:r>
      <w:proofErr w:type="spellEnd"/>
      <w:r w:rsidR="00E9102B">
        <w:rPr>
          <w:rFonts w:ascii="Times New Roman" w:hAnsi="Times New Roman" w:cs="Times New Roman"/>
          <w:sz w:val="24"/>
          <w:szCs w:val="24"/>
        </w:rPr>
        <w:t xml:space="preserve"> </w:t>
      </w:r>
      <w:proofErr w:type="spellStart"/>
      <w:r w:rsidR="00E9102B">
        <w:rPr>
          <w:rFonts w:ascii="Times New Roman" w:hAnsi="Times New Roman" w:cs="Times New Roman"/>
          <w:sz w:val="24"/>
          <w:szCs w:val="24"/>
        </w:rPr>
        <w:t>geartype</w:t>
      </w:r>
      <w:proofErr w:type="spellEnd"/>
      <w:r w:rsidR="00E9102B">
        <w:rPr>
          <w:rFonts w:ascii="Times New Roman" w:hAnsi="Times New Roman" w:cs="Times New Roman"/>
          <w:sz w:val="24"/>
          <w:szCs w:val="24"/>
        </w:rPr>
        <w:t xml:space="preserve"> will eventually be shut down due to its low profitability and catch volume. </w:t>
      </w:r>
      <w:proofErr w:type="spellStart"/>
      <w:r w:rsidR="00E9102B">
        <w:rPr>
          <w:rFonts w:ascii="Times New Roman" w:hAnsi="Times New Roman" w:cs="Times New Roman"/>
          <w:sz w:val="24"/>
          <w:szCs w:val="24"/>
        </w:rPr>
        <w:t>Furtheremore</w:t>
      </w:r>
      <w:proofErr w:type="spellEnd"/>
      <w:r w:rsidR="00E9102B">
        <w:rPr>
          <w:rFonts w:ascii="Times New Roman" w:hAnsi="Times New Roman" w:cs="Times New Roman"/>
          <w:sz w:val="24"/>
          <w:szCs w:val="24"/>
        </w:rPr>
        <w:t xml:space="preserve">, </w:t>
      </w:r>
      <w:r w:rsidR="00CF04CD">
        <w:rPr>
          <w:rFonts w:ascii="Times New Roman" w:hAnsi="Times New Roman" w:cs="Times New Roman"/>
          <w:sz w:val="24"/>
          <w:szCs w:val="24"/>
        </w:rPr>
        <w:t>the purse seine method which has the highest catch volume,</w:t>
      </w:r>
      <w:r w:rsidR="00DE2E54">
        <w:rPr>
          <w:rFonts w:ascii="Times New Roman" w:hAnsi="Times New Roman" w:cs="Times New Roman"/>
          <w:sz w:val="24"/>
          <w:szCs w:val="24"/>
        </w:rPr>
        <w:t xml:space="preserve"> will stay as</w:t>
      </w:r>
      <w:r w:rsidR="00082A3B">
        <w:rPr>
          <w:rFonts w:ascii="Times New Roman" w:hAnsi="Times New Roman" w:cs="Times New Roman"/>
          <w:sz w:val="24"/>
          <w:szCs w:val="24"/>
        </w:rPr>
        <w:t xml:space="preserve"> one of the governin</w:t>
      </w:r>
      <w:r w:rsidR="00DE2E54">
        <w:rPr>
          <w:rFonts w:ascii="Times New Roman" w:hAnsi="Times New Roman" w:cs="Times New Roman"/>
          <w:sz w:val="24"/>
          <w:szCs w:val="24"/>
        </w:rPr>
        <w:t>g</w:t>
      </w:r>
      <w:r w:rsidR="00082A3B">
        <w:rPr>
          <w:rFonts w:ascii="Times New Roman" w:hAnsi="Times New Roman" w:cs="Times New Roman"/>
          <w:sz w:val="24"/>
          <w:szCs w:val="24"/>
        </w:rPr>
        <w:t xml:space="preserve"> methods </w:t>
      </w:r>
      <w:proofErr w:type="spellStart"/>
      <w:r w:rsidR="00DE2E54">
        <w:rPr>
          <w:rFonts w:ascii="Times New Roman" w:hAnsi="Times New Roman" w:cs="Times New Roman"/>
          <w:sz w:val="24"/>
          <w:szCs w:val="24"/>
        </w:rPr>
        <w:t>eartype</w:t>
      </w:r>
      <w:proofErr w:type="spellEnd"/>
      <w:r w:rsidR="00DE2E54">
        <w:rPr>
          <w:rFonts w:ascii="Times New Roman" w:hAnsi="Times New Roman" w:cs="Times New Roman"/>
          <w:sz w:val="24"/>
          <w:szCs w:val="24"/>
        </w:rPr>
        <w:t xml:space="preserve"> in the region</w:t>
      </w:r>
      <w:r w:rsidR="00CF04CD">
        <w:rPr>
          <w:rFonts w:ascii="Times New Roman" w:hAnsi="Times New Roman" w:cs="Times New Roman"/>
          <w:sz w:val="24"/>
          <w:szCs w:val="24"/>
        </w:rPr>
        <w:t xml:space="preserve"> </w:t>
      </w:r>
      <w:r w:rsidR="003A4E83">
        <w:rPr>
          <w:rFonts w:ascii="Times New Roman" w:hAnsi="Times New Roman" w:cs="Times New Roman"/>
          <w:sz w:val="24"/>
          <w:szCs w:val="24"/>
        </w:rPr>
        <w:t xml:space="preserve">also </w:t>
      </w:r>
      <w:r w:rsidR="00CF04CD">
        <w:rPr>
          <w:rFonts w:ascii="Times New Roman" w:hAnsi="Times New Roman" w:cs="Times New Roman"/>
          <w:sz w:val="24"/>
          <w:szCs w:val="24"/>
        </w:rPr>
        <w:t>shown in the previous sections</w:t>
      </w:r>
      <w:r>
        <w:rPr>
          <w:rFonts w:ascii="Times New Roman" w:hAnsi="Times New Roman" w:cs="Times New Roman"/>
          <w:sz w:val="24"/>
          <w:szCs w:val="24"/>
        </w:rPr>
        <w:t xml:space="preserve">. </w:t>
      </w:r>
    </w:p>
    <w:p w14:paraId="5C76661A" w14:textId="77777777" w:rsidR="003C173B" w:rsidRPr="006E04D7" w:rsidRDefault="00E0683B" w:rsidP="00092CEA">
      <w:pPr>
        <w:pStyle w:val="Heading1"/>
        <w:spacing w:line="360" w:lineRule="auto"/>
        <w:rPr>
          <w:rFonts w:ascii="Times New Roman" w:hAnsi="Times New Roman" w:cs="Times New Roman"/>
        </w:rPr>
      </w:pPr>
      <w:r w:rsidRPr="006E04D7">
        <w:rPr>
          <w:rFonts w:ascii="Times New Roman" w:hAnsi="Times New Roman" w:cs="Times New Roman"/>
        </w:rPr>
        <w:t xml:space="preserve">Discussion </w:t>
      </w:r>
      <w:r w:rsidR="00D35290" w:rsidRPr="006E04D7">
        <w:rPr>
          <w:rFonts w:ascii="Times New Roman" w:hAnsi="Times New Roman" w:cs="Times New Roman"/>
        </w:rPr>
        <w:t>and conclusions</w:t>
      </w:r>
    </w:p>
    <w:p w14:paraId="4537E3C3" w14:textId="77777777" w:rsidR="00236A39" w:rsidRPr="006E04D7" w:rsidRDefault="00CD1C22" w:rsidP="00092CEA">
      <w:pPr>
        <w:spacing w:line="360" w:lineRule="auto"/>
        <w:jc w:val="both"/>
        <w:rPr>
          <w:rFonts w:ascii="Times New Roman" w:hAnsi="Times New Roman" w:cs="Times New Roman"/>
          <w:color w:val="000000"/>
          <w:sz w:val="24"/>
          <w:szCs w:val="24"/>
          <w:shd w:val="clear" w:color="auto" w:fill="FFFFFF"/>
        </w:rPr>
      </w:pPr>
      <w:r w:rsidRPr="006E04D7">
        <w:rPr>
          <w:rFonts w:ascii="Times New Roman" w:hAnsi="Times New Roman" w:cs="Times New Roman"/>
          <w:sz w:val="24"/>
          <w:szCs w:val="24"/>
        </w:rPr>
        <w:t xml:space="preserve">This study </w:t>
      </w:r>
      <w:r w:rsidR="00F53D94" w:rsidRPr="006E04D7">
        <w:rPr>
          <w:rFonts w:ascii="Times New Roman" w:hAnsi="Times New Roman" w:cs="Times New Roman"/>
          <w:sz w:val="24"/>
          <w:szCs w:val="24"/>
        </w:rPr>
        <w:t>highlights</w:t>
      </w:r>
      <w:r w:rsidRPr="006E04D7">
        <w:rPr>
          <w:rFonts w:ascii="Times New Roman" w:hAnsi="Times New Roman" w:cs="Times New Roman"/>
          <w:sz w:val="24"/>
          <w:szCs w:val="24"/>
        </w:rPr>
        <w:t xml:space="preserve"> the trends in </w:t>
      </w:r>
      <w:r w:rsidR="00D86E66" w:rsidRPr="006E04D7">
        <w:rPr>
          <w:rFonts w:ascii="Times New Roman" w:hAnsi="Times New Roman" w:cs="Times New Roman"/>
          <w:sz w:val="24"/>
          <w:szCs w:val="24"/>
        </w:rPr>
        <w:t>total catch</w:t>
      </w:r>
      <w:r w:rsidR="00E759F4" w:rsidRPr="006E04D7">
        <w:rPr>
          <w:rFonts w:ascii="Times New Roman" w:hAnsi="Times New Roman" w:cs="Times New Roman"/>
          <w:sz w:val="24"/>
          <w:szCs w:val="24"/>
        </w:rPr>
        <w:t xml:space="preserve"> for the</w:t>
      </w:r>
      <w:r w:rsidR="002D5D55" w:rsidRPr="006E04D7">
        <w:rPr>
          <w:rFonts w:ascii="Times New Roman" w:hAnsi="Times New Roman" w:cs="Times New Roman"/>
          <w:sz w:val="24"/>
          <w:szCs w:val="24"/>
        </w:rPr>
        <w:t xml:space="preserve"> Atlantic </w:t>
      </w:r>
      <w:r w:rsidRPr="006E04D7">
        <w:rPr>
          <w:rFonts w:ascii="Times New Roman" w:hAnsi="Times New Roman" w:cs="Times New Roman"/>
          <w:sz w:val="24"/>
          <w:szCs w:val="24"/>
        </w:rPr>
        <w:t>Bluefin tuna in the period between 1995- 2017</w:t>
      </w:r>
      <w:r w:rsidR="00E9102B">
        <w:rPr>
          <w:rFonts w:ascii="Times New Roman" w:hAnsi="Times New Roman" w:cs="Times New Roman"/>
          <w:sz w:val="24"/>
          <w:szCs w:val="24"/>
        </w:rPr>
        <w:t xml:space="preserve"> and presents an </w:t>
      </w:r>
      <w:r w:rsidR="00CB2334">
        <w:rPr>
          <w:rFonts w:ascii="Times New Roman" w:hAnsi="Times New Roman" w:cs="Times New Roman"/>
          <w:sz w:val="24"/>
          <w:szCs w:val="24"/>
        </w:rPr>
        <w:t>optimisation model</w:t>
      </w:r>
      <w:r w:rsidR="00E9102B">
        <w:rPr>
          <w:rFonts w:ascii="Times New Roman" w:hAnsi="Times New Roman" w:cs="Times New Roman"/>
          <w:sz w:val="24"/>
          <w:szCs w:val="24"/>
        </w:rPr>
        <w:t xml:space="preserve"> for the short term and long term NPV assessment of the East Atlantic Bluefin Tuna</w:t>
      </w:r>
      <w:r w:rsidRPr="006E04D7">
        <w:rPr>
          <w:rFonts w:ascii="Times New Roman" w:hAnsi="Times New Roman" w:cs="Times New Roman"/>
          <w:sz w:val="24"/>
          <w:szCs w:val="24"/>
        </w:rPr>
        <w:t xml:space="preserve">. </w:t>
      </w:r>
      <w:r w:rsidR="002F05AA" w:rsidRPr="006E04D7">
        <w:rPr>
          <w:rFonts w:ascii="Times New Roman" w:hAnsi="Times New Roman" w:cs="Times New Roman"/>
          <w:sz w:val="24"/>
          <w:szCs w:val="24"/>
        </w:rPr>
        <w:t>Following an increased international pressure and the dange</w:t>
      </w:r>
      <w:r w:rsidR="00D86E66" w:rsidRPr="006E04D7">
        <w:rPr>
          <w:rFonts w:ascii="Times New Roman" w:hAnsi="Times New Roman" w:cs="Times New Roman"/>
          <w:sz w:val="24"/>
          <w:szCs w:val="24"/>
        </w:rPr>
        <w:t>r of collapse</w:t>
      </w:r>
      <w:r w:rsidR="00E759F4" w:rsidRPr="006E04D7">
        <w:rPr>
          <w:rFonts w:ascii="Times New Roman" w:hAnsi="Times New Roman" w:cs="Times New Roman"/>
          <w:sz w:val="24"/>
          <w:szCs w:val="24"/>
        </w:rPr>
        <w:t xml:space="preserve"> of the </w:t>
      </w:r>
      <w:r w:rsidR="00F53D94">
        <w:rPr>
          <w:rFonts w:ascii="Times New Roman" w:hAnsi="Times New Roman" w:cs="Times New Roman"/>
          <w:sz w:val="24"/>
          <w:szCs w:val="24"/>
        </w:rPr>
        <w:t>Bluefin</w:t>
      </w:r>
      <w:r w:rsidR="002F05AA" w:rsidRPr="006E04D7">
        <w:rPr>
          <w:rFonts w:ascii="Times New Roman" w:hAnsi="Times New Roman" w:cs="Times New Roman"/>
          <w:sz w:val="24"/>
          <w:szCs w:val="24"/>
        </w:rPr>
        <w:t xml:space="preserve"> Tuna, in 2007, the ICCAT initiated implementing management measures</w:t>
      </w:r>
      <w:r w:rsidR="00D86E66" w:rsidRPr="006E04D7">
        <w:rPr>
          <w:rFonts w:ascii="Times New Roman" w:hAnsi="Times New Roman" w:cs="Times New Roman"/>
          <w:sz w:val="24"/>
          <w:szCs w:val="24"/>
        </w:rPr>
        <w:t xml:space="preserve"> to reduce the risks</w:t>
      </w:r>
      <w:r w:rsidR="002F05AA" w:rsidRPr="006E04D7">
        <w:rPr>
          <w:rFonts w:ascii="Times New Roman" w:hAnsi="Times New Roman" w:cs="Times New Roman"/>
          <w:sz w:val="24"/>
          <w:szCs w:val="24"/>
        </w:rPr>
        <w:t>. Since 2007, the allowable quotas</w:t>
      </w:r>
      <w:r w:rsidR="009C62FE" w:rsidRPr="006E04D7">
        <w:rPr>
          <w:rFonts w:ascii="Times New Roman" w:hAnsi="Times New Roman" w:cs="Times New Roman"/>
          <w:sz w:val="24"/>
          <w:szCs w:val="24"/>
        </w:rPr>
        <w:t xml:space="preserve"> for East Atlantic</w:t>
      </w:r>
      <w:r w:rsidR="002F05AA" w:rsidRPr="006E04D7">
        <w:rPr>
          <w:rFonts w:ascii="Times New Roman" w:hAnsi="Times New Roman" w:cs="Times New Roman"/>
          <w:sz w:val="24"/>
          <w:szCs w:val="24"/>
        </w:rPr>
        <w:t xml:space="preserve"> have been cut significantly from 36000 ton</w:t>
      </w:r>
      <w:r w:rsidR="009C62FE" w:rsidRPr="006E04D7">
        <w:rPr>
          <w:rFonts w:ascii="Times New Roman" w:hAnsi="Times New Roman" w:cs="Times New Roman"/>
          <w:sz w:val="24"/>
          <w:szCs w:val="24"/>
        </w:rPr>
        <w:t>n</w:t>
      </w:r>
      <w:r w:rsidR="002F05AA" w:rsidRPr="006E04D7">
        <w:rPr>
          <w:rFonts w:ascii="Times New Roman" w:hAnsi="Times New Roman" w:cs="Times New Roman"/>
          <w:sz w:val="24"/>
          <w:szCs w:val="24"/>
        </w:rPr>
        <w:t>es in 2006</w:t>
      </w:r>
      <w:r w:rsidR="00E759F4" w:rsidRPr="006E04D7">
        <w:rPr>
          <w:rFonts w:ascii="Times New Roman" w:hAnsi="Times New Roman" w:cs="Times New Roman"/>
          <w:sz w:val="24"/>
          <w:szCs w:val="24"/>
        </w:rPr>
        <w:t>,</w:t>
      </w:r>
      <w:r w:rsidR="002F05AA" w:rsidRPr="006E04D7">
        <w:rPr>
          <w:rFonts w:ascii="Times New Roman" w:hAnsi="Times New Roman" w:cs="Times New Roman"/>
          <w:sz w:val="24"/>
          <w:szCs w:val="24"/>
        </w:rPr>
        <w:t xml:space="preserve"> to less than 13000</w:t>
      </w:r>
      <w:r w:rsidR="009C62FE" w:rsidRPr="006E04D7">
        <w:rPr>
          <w:rFonts w:ascii="Times New Roman" w:hAnsi="Times New Roman" w:cs="Times New Roman"/>
          <w:sz w:val="24"/>
          <w:szCs w:val="24"/>
        </w:rPr>
        <w:t xml:space="preserve"> </w:t>
      </w:r>
      <w:r w:rsidR="002F05AA" w:rsidRPr="006E04D7">
        <w:rPr>
          <w:rFonts w:ascii="Times New Roman" w:hAnsi="Times New Roman" w:cs="Times New Roman"/>
          <w:sz w:val="24"/>
          <w:szCs w:val="24"/>
        </w:rPr>
        <w:t>ton</w:t>
      </w:r>
      <w:r w:rsidR="009C62FE" w:rsidRPr="006E04D7">
        <w:rPr>
          <w:rFonts w:ascii="Times New Roman" w:hAnsi="Times New Roman" w:cs="Times New Roman"/>
          <w:sz w:val="24"/>
          <w:szCs w:val="24"/>
        </w:rPr>
        <w:t>n</w:t>
      </w:r>
      <w:r w:rsidR="002F05AA" w:rsidRPr="006E04D7">
        <w:rPr>
          <w:rFonts w:ascii="Times New Roman" w:hAnsi="Times New Roman" w:cs="Times New Roman"/>
          <w:sz w:val="24"/>
          <w:szCs w:val="24"/>
        </w:rPr>
        <w:t>es in 2011. Additionally</w:t>
      </w:r>
      <w:r w:rsidR="0085723A" w:rsidRPr="006E04D7">
        <w:rPr>
          <w:rFonts w:ascii="Times New Roman" w:hAnsi="Times New Roman" w:cs="Times New Roman"/>
          <w:sz w:val="24"/>
          <w:szCs w:val="24"/>
        </w:rPr>
        <w:t>,</w:t>
      </w:r>
      <w:r w:rsidR="002F05AA" w:rsidRPr="006E04D7">
        <w:rPr>
          <w:rFonts w:ascii="Times New Roman" w:hAnsi="Times New Roman" w:cs="Times New Roman"/>
          <w:sz w:val="24"/>
          <w:szCs w:val="24"/>
        </w:rPr>
        <w:t xml:space="preserve"> the improved surveillance and the </w:t>
      </w:r>
      <w:r w:rsidR="00F53D94">
        <w:rPr>
          <w:rFonts w:ascii="Times New Roman" w:hAnsi="Times New Roman" w:cs="Times New Roman"/>
          <w:sz w:val="24"/>
          <w:szCs w:val="24"/>
        </w:rPr>
        <w:t>bluefin</w:t>
      </w:r>
      <w:r w:rsidR="002F05AA" w:rsidRPr="006E04D7">
        <w:rPr>
          <w:rFonts w:ascii="Times New Roman" w:hAnsi="Times New Roman" w:cs="Times New Roman"/>
          <w:sz w:val="24"/>
          <w:szCs w:val="24"/>
        </w:rPr>
        <w:t xml:space="preserve"> catch documentation scheme was put in place to mitigate illegal catches and track BFT along the entire supply chain</w:t>
      </w:r>
      <w:r w:rsidR="009C62FE" w:rsidRPr="006E04D7">
        <w:rPr>
          <w:rFonts w:ascii="Times New Roman" w:hAnsi="Times New Roman" w:cs="Times New Roman"/>
          <w:sz w:val="24"/>
          <w:szCs w:val="24"/>
        </w:rPr>
        <w:t xml:space="preserve"> </w:t>
      </w:r>
      <w:r w:rsidR="009C62FE" w:rsidRPr="006E04D7">
        <w:rPr>
          <w:rFonts w:ascii="Times New Roman" w:hAnsi="Times New Roman" w:cs="Times New Roman"/>
          <w:sz w:val="24"/>
          <w:szCs w:val="24"/>
        </w:rPr>
        <w:fldChar w:fldCharType="begin"/>
      </w:r>
      <w:r w:rsidR="00D6484C" w:rsidRPr="006E04D7">
        <w:rPr>
          <w:rFonts w:ascii="Times New Roman" w:hAnsi="Times New Roman" w:cs="Times New Roman"/>
          <w:sz w:val="24"/>
          <w:szCs w:val="24"/>
        </w:rPr>
        <w:instrText xml:space="preserve"> ADDIN EN.CITE &lt;EndNote&gt;&lt;Cite&gt;&lt;Author&gt;Gagern&lt;/Author&gt;&lt;Year&gt;2013&lt;/Year&gt;&lt;RecNum&gt;289&lt;/RecNum&gt;&lt;DisplayText&gt;[20]&lt;/DisplayText&gt;&lt;record&gt;&lt;rec-number&gt;289&lt;/rec-number&gt;&lt;foreign-keys&gt;&lt;key app="EN" db-id="wffdwdt97adpw0eeedr5t2wbdwf5etardpas"&gt;289&lt;/key&gt;&lt;/foreign-keys&gt;&lt;ref-type name="Journal Article"&gt;17&lt;/ref-type&gt;&lt;contributors&gt;&lt;authors&gt;&lt;author&gt;Gagern, A.&lt;/author&gt;&lt;author&gt;Van den Bergh, J.&lt;/author&gt;&lt;author&gt;Sumaila, U.R.&lt;/author&gt;&lt;/authors&gt;&lt;/contributors&gt;&lt;titles&gt;&lt;title&gt;Trade-Based Estimation of Bluefin Tuna Catches in the Eastern Atlantic and Mediterranean&lt;/title&gt;&lt;secondary-title&gt;PLoS ONE&lt;/secondary-title&gt;&lt;/titles&gt;&lt;periodical&gt;&lt;full-title&gt;PLoS ONE&lt;/full-title&gt;&lt;/periodical&gt;&lt;volume&gt;8&lt;/volume&gt;&lt;number&gt;7&lt;/number&gt;&lt;dates&gt;&lt;year&gt;2013&lt;/year&gt;&lt;/dates&gt;&lt;urls&gt;&lt;/urls&gt;&lt;/record&gt;&lt;/Cite&gt;&lt;/EndNote&gt;</w:instrText>
      </w:r>
      <w:r w:rsidR="009C62FE" w:rsidRPr="006E04D7">
        <w:rPr>
          <w:rFonts w:ascii="Times New Roman" w:hAnsi="Times New Roman" w:cs="Times New Roman"/>
          <w:sz w:val="24"/>
          <w:szCs w:val="24"/>
        </w:rPr>
        <w:fldChar w:fldCharType="separate"/>
      </w:r>
      <w:r w:rsidR="00D6484C" w:rsidRPr="006E04D7">
        <w:rPr>
          <w:rFonts w:ascii="Times New Roman" w:hAnsi="Times New Roman" w:cs="Times New Roman"/>
          <w:noProof/>
          <w:sz w:val="24"/>
          <w:szCs w:val="24"/>
        </w:rPr>
        <w:t>[</w:t>
      </w:r>
      <w:hyperlink w:anchor="_ENREF_20" w:tooltip="Gagern, 2013 #289" w:history="1">
        <w:r w:rsidR="00CB2334" w:rsidRPr="006E04D7">
          <w:rPr>
            <w:rFonts w:ascii="Times New Roman" w:hAnsi="Times New Roman" w:cs="Times New Roman"/>
            <w:noProof/>
            <w:sz w:val="24"/>
            <w:szCs w:val="24"/>
          </w:rPr>
          <w:t>20</w:t>
        </w:r>
      </w:hyperlink>
      <w:r w:rsidR="00D6484C" w:rsidRPr="006E04D7">
        <w:rPr>
          <w:rFonts w:ascii="Times New Roman" w:hAnsi="Times New Roman" w:cs="Times New Roman"/>
          <w:noProof/>
          <w:sz w:val="24"/>
          <w:szCs w:val="24"/>
        </w:rPr>
        <w:t>]</w:t>
      </w:r>
      <w:r w:rsidR="009C62FE" w:rsidRPr="006E04D7">
        <w:rPr>
          <w:rFonts w:ascii="Times New Roman" w:hAnsi="Times New Roman" w:cs="Times New Roman"/>
          <w:sz w:val="24"/>
          <w:szCs w:val="24"/>
        </w:rPr>
        <w:fldChar w:fldCharType="end"/>
      </w:r>
      <w:r w:rsidR="002F05AA" w:rsidRPr="006E04D7">
        <w:rPr>
          <w:rFonts w:ascii="Times New Roman" w:hAnsi="Times New Roman" w:cs="Times New Roman"/>
          <w:sz w:val="24"/>
          <w:szCs w:val="24"/>
        </w:rPr>
        <w:t xml:space="preserve">. </w:t>
      </w:r>
      <w:r w:rsidR="00A77708" w:rsidRPr="006E04D7">
        <w:rPr>
          <w:rFonts w:ascii="Times New Roman" w:hAnsi="Times New Roman" w:cs="Times New Roman"/>
          <w:sz w:val="24"/>
          <w:szCs w:val="24"/>
        </w:rPr>
        <w:t>Analysing the figures</w:t>
      </w:r>
      <w:r w:rsidR="00F53CD6" w:rsidRPr="006E04D7">
        <w:rPr>
          <w:rFonts w:ascii="Times New Roman" w:hAnsi="Times New Roman" w:cs="Times New Roman"/>
          <w:sz w:val="24"/>
          <w:szCs w:val="24"/>
        </w:rPr>
        <w:t xml:space="preserve"> in </w:t>
      </w:r>
      <w:r w:rsidR="00204779" w:rsidRPr="006E04D7">
        <w:rPr>
          <w:rFonts w:ascii="Times New Roman" w:hAnsi="Times New Roman" w:cs="Times New Roman"/>
          <w:sz w:val="24"/>
          <w:szCs w:val="24"/>
        </w:rPr>
        <w:t>the period between 1995-2017</w:t>
      </w:r>
      <w:r w:rsidR="00F53CD6" w:rsidRPr="006E04D7">
        <w:rPr>
          <w:rFonts w:ascii="Times New Roman" w:hAnsi="Times New Roman" w:cs="Times New Roman"/>
          <w:sz w:val="24"/>
          <w:szCs w:val="24"/>
        </w:rPr>
        <w:t xml:space="preserve"> shows</w:t>
      </w:r>
      <w:r w:rsidR="00A77708" w:rsidRPr="006E04D7">
        <w:rPr>
          <w:rFonts w:ascii="Times New Roman" w:hAnsi="Times New Roman" w:cs="Times New Roman"/>
          <w:sz w:val="24"/>
          <w:szCs w:val="24"/>
        </w:rPr>
        <w:t xml:space="preserve"> </w:t>
      </w:r>
      <w:r w:rsidRPr="006E04D7">
        <w:rPr>
          <w:rFonts w:ascii="Times New Roman" w:hAnsi="Times New Roman" w:cs="Times New Roman"/>
          <w:sz w:val="24"/>
          <w:szCs w:val="24"/>
        </w:rPr>
        <w:t xml:space="preserve">that in all three </w:t>
      </w:r>
      <w:r w:rsidR="00F53D94" w:rsidRPr="006E04D7">
        <w:rPr>
          <w:rFonts w:ascii="Times New Roman" w:hAnsi="Times New Roman" w:cs="Times New Roman"/>
          <w:sz w:val="24"/>
          <w:szCs w:val="24"/>
        </w:rPr>
        <w:t>regions</w:t>
      </w:r>
      <w:r w:rsidRPr="006E04D7">
        <w:rPr>
          <w:rFonts w:ascii="Times New Roman" w:hAnsi="Times New Roman" w:cs="Times New Roman"/>
          <w:sz w:val="24"/>
          <w:szCs w:val="24"/>
        </w:rPr>
        <w:t xml:space="preserve"> the total catch has decreased since 2011</w:t>
      </w:r>
      <w:r w:rsidR="00F53CD6" w:rsidRPr="006E04D7">
        <w:rPr>
          <w:rFonts w:ascii="Times New Roman" w:hAnsi="Times New Roman" w:cs="Times New Roman"/>
          <w:sz w:val="24"/>
          <w:szCs w:val="24"/>
        </w:rPr>
        <w:t>,</w:t>
      </w:r>
      <w:r w:rsidRPr="006E04D7">
        <w:rPr>
          <w:rFonts w:ascii="Times New Roman" w:hAnsi="Times New Roman" w:cs="Times New Roman"/>
          <w:sz w:val="24"/>
          <w:szCs w:val="24"/>
        </w:rPr>
        <w:t xml:space="preserve"> </w:t>
      </w:r>
      <w:r w:rsidR="008E1C63" w:rsidRPr="006E04D7">
        <w:rPr>
          <w:rFonts w:ascii="Times New Roman" w:hAnsi="Times New Roman" w:cs="Times New Roman"/>
          <w:sz w:val="24"/>
          <w:szCs w:val="24"/>
        </w:rPr>
        <w:t>signalling</w:t>
      </w:r>
      <w:r w:rsidRPr="006E04D7">
        <w:rPr>
          <w:rFonts w:ascii="Times New Roman" w:hAnsi="Times New Roman" w:cs="Times New Roman"/>
          <w:sz w:val="24"/>
          <w:szCs w:val="24"/>
        </w:rPr>
        <w:t xml:space="preserve"> the</w:t>
      </w:r>
      <w:r w:rsidR="00956E37" w:rsidRPr="006E04D7">
        <w:rPr>
          <w:rFonts w:ascii="Times New Roman" w:hAnsi="Times New Roman" w:cs="Times New Roman"/>
          <w:sz w:val="24"/>
          <w:szCs w:val="24"/>
        </w:rPr>
        <w:t xml:space="preserve"> positive and effective</w:t>
      </w:r>
      <w:r w:rsidRPr="006E04D7">
        <w:rPr>
          <w:rFonts w:ascii="Times New Roman" w:hAnsi="Times New Roman" w:cs="Times New Roman"/>
          <w:sz w:val="24"/>
          <w:szCs w:val="24"/>
        </w:rPr>
        <w:t xml:space="preserve"> impact of the sustainability measure</w:t>
      </w:r>
      <w:r w:rsidR="00D86E66" w:rsidRPr="006E04D7">
        <w:rPr>
          <w:rFonts w:ascii="Times New Roman" w:hAnsi="Times New Roman" w:cs="Times New Roman"/>
          <w:sz w:val="24"/>
          <w:szCs w:val="24"/>
        </w:rPr>
        <w:t>s</w:t>
      </w:r>
      <w:r w:rsidRPr="006E04D7">
        <w:rPr>
          <w:rFonts w:ascii="Times New Roman" w:hAnsi="Times New Roman" w:cs="Times New Roman"/>
          <w:sz w:val="24"/>
          <w:szCs w:val="24"/>
        </w:rPr>
        <w:t xml:space="preserve"> taken by the ICCAT. </w:t>
      </w:r>
    </w:p>
    <w:p w14:paraId="0C299466" w14:textId="77777777" w:rsidR="008E1C63" w:rsidRPr="006E04D7" w:rsidRDefault="0085723A" w:rsidP="00092CEA">
      <w:pPr>
        <w:spacing w:line="360" w:lineRule="auto"/>
        <w:jc w:val="both"/>
        <w:rPr>
          <w:rFonts w:ascii="Times New Roman" w:hAnsi="Times New Roman" w:cs="Times New Roman"/>
          <w:color w:val="000000"/>
          <w:sz w:val="24"/>
          <w:szCs w:val="24"/>
          <w:shd w:val="clear" w:color="auto" w:fill="FFFFFF"/>
        </w:rPr>
      </w:pPr>
      <w:r w:rsidRPr="006E04D7">
        <w:rPr>
          <w:rFonts w:ascii="Times New Roman" w:hAnsi="Times New Roman" w:cs="Times New Roman"/>
          <w:color w:val="000000"/>
          <w:sz w:val="24"/>
          <w:szCs w:val="24"/>
          <w:shd w:val="clear" w:color="auto" w:fill="FFFFFF"/>
        </w:rPr>
        <w:t>Based on the ICCAT report in 2018, i</w:t>
      </w:r>
      <w:r w:rsidR="00956E37" w:rsidRPr="006E04D7">
        <w:rPr>
          <w:rFonts w:ascii="Times New Roman" w:hAnsi="Times New Roman" w:cs="Times New Roman"/>
          <w:color w:val="000000"/>
          <w:sz w:val="24"/>
          <w:szCs w:val="24"/>
          <w:shd w:val="clear" w:color="auto" w:fill="FFFFFF"/>
        </w:rPr>
        <w:t>n</w:t>
      </w:r>
      <w:r w:rsidR="00D86E66" w:rsidRPr="006E04D7">
        <w:rPr>
          <w:rFonts w:ascii="Times New Roman" w:hAnsi="Times New Roman" w:cs="Times New Roman"/>
          <w:color w:val="000000"/>
          <w:sz w:val="24"/>
          <w:szCs w:val="24"/>
          <w:shd w:val="clear" w:color="auto" w:fill="FFFFFF"/>
        </w:rPr>
        <w:t xml:space="preserve"> the</w:t>
      </w:r>
      <w:r w:rsidR="00956E37" w:rsidRPr="006E04D7">
        <w:rPr>
          <w:rFonts w:ascii="Times New Roman" w:hAnsi="Times New Roman" w:cs="Times New Roman"/>
          <w:color w:val="000000"/>
          <w:sz w:val="24"/>
          <w:szCs w:val="24"/>
          <w:shd w:val="clear" w:color="auto" w:fill="FFFFFF"/>
        </w:rPr>
        <w:t xml:space="preserve"> East Atlantic region, </w:t>
      </w:r>
      <w:r w:rsidR="008E1C63" w:rsidRPr="006E04D7">
        <w:rPr>
          <w:rFonts w:ascii="Times New Roman" w:hAnsi="Times New Roman" w:cs="Times New Roman"/>
          <w:color w:val="000000"/>
          <w:sz w:val="24"/>
          <w:szCs w:val="24"/>
          <w:shd w:val="clear" w:color="auto" w:fill="FFFFFF"/>
        </w:rPr>
        <w:t xml:space="preserve"> the recovery plan will be replaced by a management plan for the Eastern stock as the current status of stock no longer appears to require the emergency measures </w:t>
      </w:r>
      <w:r w:rsidR="008E1C63" w:rsidRPr="006E04D7">
        <w:rPr>
          <w:rFonts w:ascii="Times New Roman" w:hAnsi="Times New Roman" w:cs="Times New Roman"/>
          <w:color w:val="000000"/>
          <w:sz w:val="24"/>
          <w:szCs w:val="24"/>
          <w:shd w:val="clear" w:color="auto" w:fill="FFFFFF"/>
        </w:rPr>
        <w:fldChar w:fldCharType="begin"/>
      </w:r>
      <w:r w:rsidR="0027539F" w:rsidRPr="006E04D7">
        <w:rPr>
          <w:rFonts w:ascii="Times New Roman" w:hAnsi="Times New Roman" w:cs="Times New Roman"/>
          <w:color w:val="000000"/>
          <w:sz w:val="24"/>
          <w:szCs w:val="24"/>
          <w:shd w:val="clear" w:color="auto" w:fill="FFFFFF"/>
        </w:rPr>
        <w:instrText xml:space="preserve"> ADDIN EN.CITE &lt;EndNote&gt;&lt;Cite&gt;&lt;Author&gt;ICCAT&lt;/Author&gt;&lt;Year&gt;2018&lt;/Year&gt;&lt;RecNum&gt;291&lt;/RecNum&gt;&lt;DisplayText&gt;[24]&lt;/DisplayText&gt;&lt;record&gt;&lt;rec-number&gt;291&lt;/rec-number&gt;&lt;foreign-keys&gt;&lt;key app="EN" db-id="wffdwdt97adpw0eeedr5t2wbdwf5etardpas"&gt;291&lt;/key&gt;&lt;/foreign-keys&gt;&lt;ref-type name="Journal Article"&gt;17&lt;/ref-type&gt;&lt;contributors&gt;&lt;authors&gt;&lt;author&gt;ICCAT&lt;/author&gt;&lt;/authors&gt;&lt;/contributors&gt;&lt;titles&gt;&lt;title&gt;RECOMMENDATION BY ICCAT ESTABLISHING A MULTI-ANNUAL MANAGEMENT PLAN FOR BLUEFIN TUNA IN THE EASTERN ATLANTIC AND THE MEDITERRANEAN SEA&lt;/title&gt;&lt;secondary-title&gt;https://www.iccat.int/Documents/Recs/compendiopdf-e/2018-02-e.pdf+&amp;amp;cd=1&amp;amp;hl=en&amp;amp;ct=clnk&amp;amp;gl=uk&lt;/secondary-title&gt;&lt;/titles&gt;&lt;periodical&gt;&lt;full-title&gt;https://www.iccat.int/Documents/Recs/compendiopdf-e/2018-02-e.pdf+&amp;amp;cd=1&amp;amp;hl=en&amp;amp;ct=clnk&amp;amp;gl=uk&lt;/full-title&gt;&lt;/periodical&gt;&lt;dates&gt;&lt;year&gt;2018&lt;/year&gt;&lt;/dates&gt;&lt;urls&gt;&lt;related-urls&gt;&lt;url&gt;https://www.iccat.int/Documents/Recs/compendiopdf-e/2018-02-e.pdf+&amp;amp;cd=1&amp;amp;hl=en&amp;amp;ct=clnk&amp;amp;gl=uk&lt;/url&gt;&lt;/related-urls&gt;&lt;/urls&gt;&lt;/record&gt;&lt;/Cite&gt;&lt;/EndNote&gt;</w:instrText>
      </w:r>
      <w:r w:rsidR="008E1C63" w:rsidRPr="006E04D7">
        <w:rPr>
          <w:rFonts w:ascii="Times New Roman" w:hAnsi="Times New Roman" w:cs="Times New Roman"/>
          <w:color w:val="000000"/>
          <w:sz w:val="24"/>
          <w:szCs w:val="24"/>
          <w:shd w:val="clear" w:color="auto" w:fill="FFFFFF"/>
        </w:rPr>
        <w:fldChar w:fldCharType="separate"/>
      </w:r>
      <w:r w:rsidR="0027539F" w:rsidRPr="006E04D7">
        <w:rPr>
          <w:rFonts w:ascii="Times New Roman" w:hAnsi="Times New Roman" w:cs="Times New Roman"/>
          <w:noProof/>
          <w:color w:val="000000"/>
          <w:sz w:val="24"/>
          <w:szCs w:val="24"/>
          <w:shd w:val="clear" w:color="auto" w:fill="FFFFFF"/>
        </w:rPr>
        <w:t>[</w:t>
      </w:r>
      <w:hyperlink w:anchor="_ENREF_24" w:tooltip="ICCAT, 2018 #291" w:history="1">
        <w:r w:rsidR="00CB2334" w:rsidRPr="006E04D7">
          <w:rPr>
            <w:rFonts w:ascii="Times New Roman" w:hAnsi="Times New Roman" w:cs="Times New Roman"/>
            <w:noProof/>
            <w:color w:val="000000"/>
            <w:sz w:val="24"/>
            <w:szCs w:val="24"/>
            <w:shd w:val="clear" w:color="auto" w:fill="FFFFFF"/>
          </w:rPr>
          <w:t>24</w:t>
        </w:r>
      </w:hyperlink>
      <w:r w:rsidR="0027539F" w:rsidRPr="006E04D7">
        <w:rPr>
          <w:rFonts w:ascii="Times New Roman" w:hAnsi="Times New Roman" w:cs="Times New Roman"/>
          <w:noProof/>
          <w:color w:val="000000"/>
          <w:sz w:val="24"/>
          <w:szCs w:val="24"/>
          <w:shd w:val="clear" w:color="auto" w:fill="FFFFFF"/>
        </w:rPr>
        <w:t>]</w:t>
      </w:r>
      <w:r w:rsidR="008E1C63" w:rsidRPr="006E04D7">
        <w:rPr>
          <w:rFonts w:ascii="Times New Roman" w:hAnsi="Times New Roman" w:cs="Times New Roman"/>
          <w:color w:val="000000"/>
          <w:sz w:val="24"/>
          <w:szCs w:val="24"/>
          <w:shd w:val="clear" w:color="auto" w:fill="FFFFFF"/>
        </w:rPr>
        <w:fldChar w:fldCharType="end"/>
      </w:r>
      <w:r w:rsidR="008E1C63" w:rsidRPr="006E04D7">
        <w:rPr>
          <w:rFonts w:ascii="Times New Roman" w:hAnsi="Times New Roman" w:cs="Times New Roman"/>
          <w:color w:val="000000"/>
          <w:sz w:val="24"/>
          <w:szCs w:val="24"/>
          <w:shd w:val="clear" w:color="auto" w:fill="FFFFFF"/>
        </w:rPr>
        <w:t xml:space="preserve">. </w:t>
      </w:r>
      <w:r w:rsidR="00956E37" w:rsidRPr="006E04D7">
        <w:rPr>
          <w:rFonts w:ascii="Times New Roman" w:hAnsi="Times New Roman" w:cs="Times New Roman"/>
          <w:color w:val="000000"/>
          <w:sz w:val="24"/>
          <w:szCs w:val="24"/>
          <w:shd w:val="clear" w:color="auto" w:fill="FFFFFF"/>
        </w:rPr>
        <w:t xml:space="preserve">In 2017, The East Atlantic had a total catch of 23847 Tonnes and based on the guideline generated by ICCAT, the TAC for East Atlantic </w:t>
      </w:r>
      <w:r w:rsidR="00956E37" w:rsidRPr="006E04D7">
        <w:rPr>
          <w:rFonts w:ascii="Times New Roman" w:hAnsi="Times New Roman" w:cs="Times New Roman"/>
          <w:color w:val="000000"/>
          <w:sz w:val="24"/>
          <w:szCs w:val="24"/>
          <w:shd w:val="clear" w:color="auto" w:fill="FFFFFF"/>
        </w:rPr>
        <w:lastRenderedPageBreak/>
        <w:t>in 2018, 2019 and 2020 is 28200, 32240, 36000</w:t>
      </w:r>
      <w:r w:rsidR="00E759F4" w:rsidRPr="006E04D7">
        <w:rPr>
          <w:rFonts w:ascii="Times New Roman" w:hAnsi="Times New Roman" w:cs="Times New Roman"/>
          <w:color w:val="000000"/>
          <w:sz w:val="24"/>
          <w:szCs w:val="24"/>
          <w:shd w:val="clear" w:color="auto" w:fill="FFFFFF"/>
        </w:rPr>
        <w:t xml:space="preserve"> tonnes</w:t>
      </w:r>
      <w:r w:rsidR="00956E37" w:rsidRPr="006E04D7">
        <w:rPr>
          <w:rFonts w:ascii="Times New Roman" w:hAnsi="Times New Roman" w:cs="Times New Roman"/>
          <w:color w:val="000000"/>
          <w:sz w:val="24"/>
          <w:szCs w:val="24"/>
          <w:shd w:val="clear" w:color="auto" w:fill="FFFFFF"/>
        </w:rPr>
        <w:t xml:space="preserve"> respectively, showing an increasing confidence and hence the projected TAC seem to be reasonable and achievable.</w:t>
      </w:r>
    </w:p>
    <w:p w14:paraId="322EB764" w14:textId="77777777" w:rsidR="00F53CD6" w:rsidRDefault="00D86E66" w:rsidP="00092CEA">
      <w:pPr>
        <w:spacing w:line="360" w:lineRule="auto"/>
        <w:jc w:val="both"/>
        <w:rPr>
          <w:rFonts w:ascii="Times New Roman" w:hAnsi="Times New Roman" w:cs="Times New Roman"/>
          <w:color w:val="000000"/>
          <w:sz w:val="24"/>
          <w:szCs w:val="24"/>
          <w:shd w:val="clear" w:color="auto" w:fill="FFFFFF"/>
        </w:rPr>
      </w:pPr>
      <w:r w:rsidRPr="006E04D7">
        <w:rPr>
          <w:rFonts w:ascii="Times New Roman" w:hAnsi="Times New Roman" w:cs="Times New Roman"/>
          <w:color w:val="000000"/>
          <w:sz w:val="24"/>
          <w:szCs w:val="24"/>
          <w:shd w:val="clear" w:color="auto" w:fill="FFFFFF"/>
        </w:rPr>
        <w:t>For the West Atlantic region, i</w:t>
      </w:r>
      <w:r w:rsidR="008E1C63" w:rsidRPr="006E04D7">
        <w:rPr>
          <w:rFonts w:ascii="Times New Roman" w:hAnsi="Times New Roman" w:cs="Times New Roman"/>
          <w:color w:val="000000"/>
          <w:sz w:val="24"/>
          <w:szCs w:val="24"/>
          <w:shd w:val="clear" w:color="auto" w:fill="FFFFFF"/>
        </w:rPr>
        <w:t>n 2017</w:t>
      </w:r>
      <w:r w:rsidR="0085723A" w:rsidRPr="006E04D7">
        <w:rPr>
          <w:rFonts w:ascii="Times New Roman" w:hAnsi="Times New Roman" w:cs="Times New Roman"/>
          <w:color w:val="000000"/>
          <w:sz w:val="24"/>
          <w:szCs w:val="24"/>
          <w:shd w:val="clear" w:color="auto" w:fill="FFFFFF"/>
        </w:rPr>
        <w:t>,</w:t>
      </w:r>
      <w:r w:rsidR="008E1C63" w:rsidRPr="006E04D7">
        <w:rPr>
          <w:rFonts w:ascii="Times New Roman" w:hAnsi="Times New Roman" w:cs="Times New Roman"/>
          <w:color w:val="000000"/>
          <w:sz w:val="24"/>
          <w:szCs w:val="24"/>
          <w:shd w:val="clear" w:color="auto" w:fill="FFFFFF"/>
        </w:rPr>
        <w:t xml:space="preserve"> the</w:t>
      </w:r>
      <w:r w:rsidRPr="006E04D7">
        <w:rPr>
          <w:rFonts w:ascii="Times New Roman" w:hAnsi="Times New Roman" w:cs="Times New Roman"/>
          <w:color w:val="000000"/>
          <w:sz w:val="24"/>
          <w:szCs w:val="24"/>
          <w:shd w:val="clear" w:color="auto" w:fill="FFFFFF"/>
        </w:rPr>
        <w:t xml:space="preserve"> ICCAT’s s</w:t>
      </w:r>
      <w:r w:rsidR="008E1C63" w:rsidRPr="006E04D7">
        <w:rPr>
          <w:rFonts w:ascii="Times New Roman" w:hAnsi="Times New Roman" w:cs="Times New Roman"/>
          <w:color w:val="000000"/>
          <w:sz w:val="24"/>
          <w:szCs w:val="24"/>
          <w:shd w:val="clear" w:color="auto" w:fill="FFFFFF"/>
        </w:rPr>
        <w:t xml:space="preserve">cientific committee on research and statistics conducted a stock assessment and concluded that the biomass of the western stock has been increasing since about 2004, following two decades of stability and has reached 69% of the 1974 biomass level. For the West Atlantic region, the annual total allowable catch, inclusive of dead discards is 2350 tonnes for 2018, 2019 and 2020 </w:t>
      </w:r>
      <w:r w:rsidR="008E1C63" w:rsidRPr="006E04D7">
        <w:rPr>
          <w:rFonts w:ascii="Times New Roman" w:hAnsi="Times New Roman" w:cs="Times New Roman"/>
          <w:color w:val="000000"/>
          <w:sz w:val="24"/>
          <w:szCs w:val="24"/>
          <w:shd w:val="clear" w:color="auto" w:fill="FFFFFF"/>
        </w:rPr>
        <w:fldChar w:fldCharType="begin"/>
      </w:r>
      <w:r w:rsidR="0027539F" w:rsidRPr="006E04D7">
        <w:rPr>
          <w:rFonts w:ascii="Times New Roman" w:hAnsi="Times New Roman" w:cs="Times New Roman"/>
          <w:color w:val="000000"/>
          <w:sz w:val="24"/>
          <w:szCs w:val="24"/>
          <w:shd w:val="clear" w:color="auto" w:fill="FFFFFF"/>
        </w:rPr>
        <w:instrText xml:space="preserve"> ADDIN EN.CITE &lt;EndNote&gt;&lt;Cite&gt;&lt;Author&gt;ICCAT&lt;/Author&gt;&lt;Year&gt;2017&lt;/Year&gt;&lt;RecNum&gt;290&lt;/RecNum&gt;&lt;DisplayText&gt;[25]&lt;/DisplayText&gt;&lt;record&gt;&lt;rec-number&gt;290&lt;/rec-number&gt;&lt;foreign-keys&gt;&lt;key app="EN" db-id="wffdwdt97adpw0eeedr5t2wbdwf5etardpas"&gt;290&lt;/key&gt;&lt;/foreign-keys&gt;&lt;ref-type name="Journal Article"&gt;17&lt;/ref-type&gt;&lt;contributors&gt;&lt;authors&gt;&lt;author&gt;ICCAT &lt;/author&gt;&lt;/authors&gt;&lt;/contributors&gt;&lt;titles&gt;&lt;title&gt;RECOMMENDATION BY ICCAT FOR AN INTERIM CONSERVATION AND MANAGEMENT PLAN FOR WESTERN ATLANTIC BLUEFIN TUNA&lt;/title&gt;&lt;secondary-title&gt;https://www.iccat.int/Documents/Recs/compendiopdf-e/2017-06-e.pdf+&amp;amp;cd=2&amp;amp;hl=en&amp;amp;ct=clnk&amp;amp;gl=uk&lt;/secondary-title&gt;&lt;/titles&gt;&lt;periodical&gt;&lt;full-title&gt;https://www.iccat.int/Documents/Recs/compendiopdf-e/2017-06-e.pdf+&amp;amp;cd=2&amp;amp;hl=en&amp;amp;ct=clnk&amp;amp;gl=uk&lt;/full-title&gt;&lt;/periodical&gt;&lt;dates&gt;&lt;year&gt;2017&lt;/year&gt;&lt;/dates&gt;&lt;urls&gt;&lt;related-urls&gt;&lt;url&gt;https://www.iccat.int/Documents/Recs/compendiopdf-e/2017-06-e.pdf+&amp;amp;cd=2&amp;amp;hl=en&amp;amp;ct=clnk&amp;amp;gl=uk&lt;/url&gt;&lt;/related-urls&gt;&lt;/urls&gt;&lt;/record&gt;&lt;/Cite&gt;&lt;/EndNote&gt;</w:instrText>
      </w:r>
      <w:r w:rsidR="008E1C63" w:rsidRPr="006E04D7">
        <w:rPr>
          <w:rFonts w:ascii="Times New Roman" w:hAnsi="Times New Roman" w:cs="Times New Roman"/>
          <w:color w:val="000000"/>
          <w:sz w:val="24"/>
          <w:szCs w:val="24"/>
          <w:shd w:val="clear" w:color="auto" w:fill="FFFFFF"/>
        </w:rPr>
        <w:fldChar w:fldCharType="separate"/>
      </w:r>
      <w:r w:rsidR="0027539F" w:rsidRPr="006E04D7">
        <w:rPr>
          <w:rFonts w:ascii="Times New Roman" w:hAnsi="Times New Roman" w:cs="Times New Roman"/>
          <w:noProof/>
          <w:color w:val="000000"/>
          <w:sz w:val="24"/>
          <w:szCs w:val="24"/>
          <w:shd w:val="clear" w:color="auto" w:fill="FFFFFF"/>
        </w:rPr>
        <w:t>[</w:t>
      </w:r>
      <w:hyperlink w:anchor="_ENREF_25" w:tooltip="ICCAT, 2017 #290" w:history="1">
        <w:r w:rsidR="00CB2334" w:rsidRPr="006E04D7">
          <w:rPr>
            <w:rFonts w:ascii="Times New Roman" w:hAnsi="Times New Roman" w:cs="Times New Roman"/>
            <w:noProof/>
            <w:color w:val="000000"/>
            <w:sz w:val="24"/>
            <w:szCs w:val="24"/>
            <w:shd w:val="clear" w:color="auto" w:fill="FFFFFF"/>
          </w:rPr>
          <w:t>25</w:t>
        </w:r>
      </w:hyperlink>
      <w:r w:rsidR="0027539F" w:rsidRPr="006E04D7">
        <w:rPr>
          <w:rFonts w:ascii="Times New Roman" w:hAnsi="Times New Roman" w:cs="Times New Roman"/>
          <w:noProof/>
          <w:color w:val="000000"/>
          <w:sz w:val="24"/>
          <w:szCs w:val="24"/>
          <w:shd w:val="clear" w:color="auto" w:fill="FFFFFF"/>
        </w:rPr>
        <w:t>]</w:t>
      </w:r>
      <w:r w:rsidR="008E1C63" w:rsidRPr="006E04D7">
        <w:rPr>
          <w:rFonts w:ascii="Times New Roman" w:hAnsi="Times New Roman" w:cs="Times New Roman"/>
          <w:color w:val="000000"/>
          <w:sz w:val="24"/>
          <w:szCs w:val="24"/>
          <w:shd w:val="clear" w:color="auto" w:fill="FFFFFF"/>
        </w:rPr>
        <w:fldChar w:fldCharType="end"/>
      </w:r>
      <w:r w:rsidR="008E1C63" w:rsidRPr="006E04D7">
        <w:rPr>
          <w:rFonts w:ascii="Times New Roman" w:hAnsi="Times New Roman" w:cs="Times New Roman"/>
          <w:color w:val="000000"/>
          <w:sz w:val="24"/>
          <w:szCs w:val="24"/>
          <w:shd w:val="clear" w:color="auto" w:fill="FFFFFF"/>
        </w:rPr>
        <w:t xml:space="preserve">. </w:t>
      </w:r>
      <w:r w:rsidR="00E759F4" w:rsidRPr="006E04D7">
        <w:rPr>
          <w:rFonts w:ascii="Times New Roman" w:hAnsi="Times New Roman" w:cs="Times New Roman"/>
          <w:color w:val="000000"/>
          <w:sz w:val="24"/>
          <w:szCs w:val="24"/>
          <w:shd w:val="clear" w:color="auto" w:fill="FFFFFF"/>
        </w:rPr>
        <w:t>Furthermore</w:t>
      </w:r>
      <w:r w:rsidR="008E1C63" w:rsidRPr="006E04D7">
        <w:rPr>
          <w:rFonts w:ascii="Times New Roman" w:hAnsi="Times New Roman" w:cs="Times New Roman"/>
          <w:color w:val="000000"/>
          <w:sz w:val="24"/>
          <w:szCs w:val="24"/>
          <w:shd w:val="clear" w:color="auto" w:fill="FFFFFF"/>
        </w:rPr>
        <w:t xml:space="preserve">, in order to avoid the increasing fishing mortality of </w:t>
      </w:r>
      <w:r w:rsidR="00204779" w:rsidRPr="006E04D7">
        <w:rPr>
          <w:rFonts w:ascii="Times New Roman" w:hAnsi="Times New Roman" w:cs="Times New Roman"/>
          <w:color w:val="000000"/>
          <w:sz w:val="24"/>
          <w:szCs w:val="24"/>
          <w:shd w:val="clear" w:color="auto" w:fill="FFFFFF"/>
        </w:rPr>
        <w:t>BFT</w:t>
      </w:r>
      <w:r w:rsidR="00E759F4" w:rsidRPr="006E04D7">
        <w:rPr>
          <w:rFonts w:ascii="Times New Roman" w:hAnsi="Times New Roman" w:cs="Times New Roman"/>
          <w:color w:val="000000"/>
          <w:sz w:val="24"/>
          <w:szCs w:val="24"/>
          <w:shd w:val="clear" w:color="auto" w:fill="FFFFFF"/>
        </w:rPr>
        <w:t xml:space="preserve">, </w:t>
      </w:r>
      <w:r w:rsidR="008E1C63" w:rsidRPr="006E04D7">
        <w:rPr>
          <w:rFonts w:ascii="Times New Roman" w:hAnsi="Times New Roman" w:cs="Times New Roman"/>
          <w:color w:val="000000"/>
          <w:sz w:val="24"/>
          <w:szCs w:val="24"/>
          <w:shd w:val="clear" w:color="auto" w:fill="FFFFFF"/>
        </w:rPr>
        <w:t>CPCs shall prohibit any transfer of fishing effort from the West Atlantic to East and vice versa.</w:t>
      </w:r>
      <w:r w:rsidR="00964FD2" w:rsidRPr="006E04D7">
        <w:rPr>
          <w:rFonts w:ascii="Times New Roman" w:hAnsi="Times New Roman" w:cs="Times New Roman"/>
          <w:color w:val="000000"/>
          <w:sz w:val="24"/>
          <w:szCs w:val="24"/>
          <w:shd w:val="clear" w:color="auto" w:fill="FFFFFF"/>
        </w:rPr>
        <w:t xml:space="preserve"> </w:t>
      </w:r>
    </w:p>
    <w:p w14:paraId="453E42DB" w14:textId="77777777" w:rsidR="00082A3B" w:rsidRDefault="006C5F08" w:rsidP="00082A3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NPV assessment for the </w:t>
      </w:r>
      <w:r w:rsidR="00F53D94">
        <w:rPr>
          <w:rFonts w:ascii="Times New Roman" w:hAnsi="Times New Roman" w:cs="Times New Roman"/>
          <w:color w:val="000000"/>
          <w:sz w:val="24"/>
          <w:szCs w:val="24"/>
          <w:shd w:val="clear" w:color="auto" w:fill="FFFFFF"/>
        </w:rPr>
        <w:t>East Atlantic</w:t>
      </w:r>
      <w:r>
        <w:rPr>
          <w:rFonts w:ascii="Times New Roman" w:hAnsi="Times New Roman" w:cs="Times New Roman"/>
          <w:color w:val="000000"/>
          <w:sz w:val="24"/>
          <w:szCs w:val="24"/>
          <w:shd w:val="clear" w:color="auto" w:fill="FFFFFF"/>
        </w:rPr>
        <w:t xml:space="preserve"> and </w:t>
      </w:r>
      <w:r w:rsidR="00F53D94">
        <w:rPr>
          <w:rFonts w:ascii="Times New Roman" w:hAnsi="Times New Roman" w:cs="Times New Roman"/>
          <w:color w:val="000000"/>
          <w:sz w:val="24"/>
          <w:szCs w:val="24"/>
          <w:shd w:val="clear" w:color="auto" w:fill="FFFFFF"/>
        </w:rPr>
        <w:t>Mediterranean</w:t>
      </w:r>
      <w:r>
        <w:rPr>
          <w:rFonts w:ascii="Times New Roman" w:hAnsi="Times New Roman" w:cs="Times New Roman"/>
          <w:color w:val="000000"/>
          <w:sz w:val="24"/>
          <w:szCs w:val="24"/>
          <w:shd w:val="clear" w:color="auto" w:fill="FFFFFF"/>
        </w:rPr>
        <w:t xml:space="preserve"> region for the short term and long term period, which considers moratorium periods of 15 years and 25 years respectively, shows that the trap and purse seine methods are selected as ideal gear types in terms of maximising the total NPV sustainably</w:t>
      </w:r>
      <w:r w:rsidR="00082A3B">
        <w:rPr>
          <w:rFonts w:ascii="Times New Roman" w:hAnsi="Times New Roman" w:cs="Times New Roman"/>
          <w:color w:val="000000"/>
          <w:sz w:val="24"/>
          <w:szCs w:val="24"/>
          <w:shd w:val="clear" w:color="auto" w:fill="FFFFFF"/>
        </w:rPr>
        <w:t xml:space="preserve">. </w:t>
      </w:r>
    </w:p>
    <w:p w14:paraId="0097A900" w14:textId="77777777" w:rsidR="0085723A" w:rsidRPr="006E04D7" w:rsidRDefault="00082A3B" w:rsidP="00092CEA">
      <w:pPr>
        <w:spacing w:line="360" w:lineRule="auto"/>
        <w:jc w:val="both"/>
        <w:rPr>
          <w:rFonts w:ascii="Times New Roman" w:hAnsi="Times New Roman" w:cs="Times New Roman"/>
          <w:color w:val="000000"/>
          <w:sz w:val="24"/>
          <w:szCs w:val="24"/>
          <w:shd w:val="clear" w:color="auto" w:fill="FFFFFF"/>
        </w:rPr>
      </w:pPr>
      <w:r w:rsidRPr="006E04D7">
        <w:rPr>
          <w:rFonts w:ascii="Times New Roman" w:hAnsi="Times New Roman" w:cs="Times New Roman"/>
          <w:color w:val="000000"/>
          <w:sz w:val="24"/>
          <w:szCs w:val="24"/>
          <w:shd w:val="clear" w:color="auto" w:fill="FFFFFF"/>
        </w:rPr>
        <w:t xml:space="preserve">In terms of the </w:t>
      </w:r>
      <w:proofErr w:type="spellStart"/>
      <w:r w:rsidRPr="006E04D7">
        <w:rPr>
          <w:rFonts w:ascii="Times New Roman" w:hAnsi="Times New Roman" w:cs="Times New Roman"/>
          <w:color w:val="000000"/>
          <w:sz w:val="24"/>
          <w:szCs w:val="24"/>
          <w:shd w:val="clear" w:color="auto" w:fill="FFFFFF"/>
        </w:rPr>
        <w:t>geartype</w:t>
      </w:r>
      <w:proofErr w:type="spellEnd"/>
      <w:r w:rsidRPr="006E04D7">
        <w:rPr>
          <w:rFonts w:ascii="Times New Roman" w:hAnsi="Times New Roman" w:cs="Times New Roman"/>
          <w:color w:val="000000"/>
          <w:sz w:val="24"/>
          <w:szCs w:val="24"/>
          <w:shd w:val="clear" w:color="auto" w:fill="FFFFFF"/>
        </w:rPr>
        <w:t xml:space="preserve">, in the </w:t>
      </w:r>
      <w:r w:rsidR="00F53D94" w:rsidRPr="006E04D7">
        <w:rPr>
          <w:rFonts w:ascii="Times New Roman" w:hAnsi="Times New Roman" w:cs="Times New Roman"/>
          <w:color w:val="000000"/>
          <w:sz w:val="24"/>
          <w:szCs w:val="24"/>
          <w:shd w:val="clear" w:color="auto" w:fill="FFFFFF"/>
        </w:rPr>
        <w:t>Mediterranean</w:t>
      </w:r>
      <w:r w:rsidRPr="006E04D7">
        <w:rPr>
          <w:rFonts w:ascii="Times New Roman" w:hAnsi="Times New Roman" w:cs="Times New Roman"/>
          <w:color w:val="000000"/>
          <w:sz w:val="24"/>
          <w:szCs w:val="24"/>
          <w:shd w:val="clear" w:color="auto" w:fill="FFFFFF"/>
        </w:rPr>
        <w:t xml:space="preserve"> region the purse seine method, is the </w:t>
      </w:r>
      <w:r>
        <w:rPr>
          <w:rFonts w:ascii="Times New Roman" w:hAnsi="Times New Roman" w:cs="Times New Roman"/>
          <w:color w:val="000000"/>
          <w:sz w:val="24"/>
          <w:szCs w:val="24"/>
          <w:shd w:val="clear" w:color="auto" w:fill="FFFFFF"/>
        </w:rPr>
        <w:t xml:space="preserve">governing </w:t>
      </w:r>
      <w:r w:rsidRPr="006E04D7">
        <w:rPr>
          <w:rFonts w:ascii="Times New Roman" w:hAnsi="Times New Roman" w:cs="Times New Roman"/>
          <w:color w:val="000000"/>
          <w:sz w:val="24"/>
          <w:szCs w:val="24"/>
          <w:shd w:val="clear" w:color="auto" w:fill="FFFFFF"/>
        </w:rPr>
        <w:t>method, while the trap method has the highest catch volume in East Atlantic. In the West Atlantic, the highest volume of catch is by the RR method which is a small scale approach.</w:t>
      </w:r>
      <w:r>
        <w:rPr>
          <w:rFonts w:ascii="Times New Roman" w:hAnsi="Times New Roman" w:cs="Times New Roman"/>
          <w:color w:val="000000"/>
          <w:sz w:val="24"/>
          <w:szCs w:val="24"/>
          <w:shd w:val="clear" w:color="auto" w:fill="FFFFFF"/>
        </w:rPr>
        <w:t xml:space="preserve"> </w:t>
      </w:r>
      <w:r w:rsidR="0085723A" w:rsidRPr="006E04D7">
        <w:rPr>
          <w:rFonts w:ascii="Times New Roman" w:hAnsi="Times New Roman" w:cs="Times New Roman"/>
          <w:color w:val="000000"/>
          <w:sz w:val="24"/>
          <w:szCs w:val="24"/>
          <w:shd w:val="clear" w:color="auto" w:fill="FFFFFF"/>
        </w:rPr>
        <w:t xml:space="preserve">The result of our statistical analysis shows that the total volume of catch is higher in the </w:t>
      </w:r>
      <w:r w:rsidR="00F53D94" w:rsidRPr="006E04D7">
        <w:rPr>
          <w:rFonts w:ascii="Times New Roman" w:hAnsi="Times New Roman" w:cs="Times New Roman"/>
          <w:color w:val="000000"/>
          <w:sz w:val="24"/>
          <w:szCs w:val="24"/>
          <w:shd w:val="clear" w:color="auto" w:fill="FFFFFF"/>
        </w:rPr>
        <w:t>Mediterranean</w:t>
      </w:r>
      <w:r w:rsidR="0085723A" w:rsidRPr="006E04D7">
        <w:rPr>
          <w:rFonts w:ascii="Times New Roman" w:hAnsi="Times New Roman" w:cs="Times New Roman"/>
          <w:color w:val="000000"/>
          <w:sz w:val="24"/>
          <w:szCs w:val="24"/>
          <w:shd w:val="clear" w:color="auto" w:fill="FFFFFF"/>
        </w:rPr>
        <w:t xml:space="preserve"> region compared to the other two regions and therefore </w:t>
      </w:r>
      <w:r w:rsidR="00F53D94" w:rsidRPr="006E04D7">
        <w:rPr>
          <w:rFonts w:ascii="Times New Roman" w:hAnsi="Times New Roman" w:cs="Times New Roman"/>
          <w:color w:val="000000"/>
          <w:sz w:val="24"/>
          <w:szCs w:val="24"/>
          <w:shd w:val="clear" w:color="auto" w:fill="FFFFFF"/>
        </w:rPr>
        <w:t>even though</w:t>
      </w:r>
      <w:r w:rsidR="0085723A" w:rsidRPr="006E04D7">
        <w:rPr>
          <w:rFonts w:ascii="Times New Roman" w:hAnsi="Times New Roman" w:cs="Times New Roman"/>
          <w:color w:val="000000"/>
          <w:sz w:val="24"/>
          <w:szCs w:val="24"/>
          <w:shd w:val="clear" w:color="auto" w:fill="FFFFFF"/>
        </w:rPr>
        <w:t xml:space="preserve"> the amount of catch has decreased in the recent years, precautionary measures are suggested for this region to ensure the recovery of the stocks and avoid over-exploitations. </w:t>
      </w:r>
      <w:r w:rsidR="00ED45AA" w:rsidRPr="006E04D7">
        <w:rPr>
          <w:rFonts w:ascii="Times New Roman" w:hAnsi="Times New Roman" w:cs="Times New Roman"/>
          <w:color w:val="000000"/>
          <w:sz w:val="24"/>
          <w:szCs w:val="24"/>
          <w:shd w:val="clear" w:color="auto" w:fill="FFFFFF"/>
        </w:rPr>
        <w:t>Furthermore</w:t>
      </w:r>
      <w:r w:rsidR="00964FD2" w:rsidRPr="006E04D7">
        <w:rPr>
          <w:rFonts w:ascii="Times New Roman" w:hAnsi="Times New Roman" w:cs="Times New Roman"/>
          <w:color w:val="000000"/>
          <w:sz w:val="24"/>
          <w:szCs w:val="24"/>
          <w:shd w:val="clear" w:color="auto" w:fill="FFFFFF"/>
        </w:rPr>
        <w:t xml:space="preserve">, the amount of NEI catch is higher in the </w:t>
      </w:r>
      <w:r w:rsidR="00F53D94" w:rsidRPr="006E04D7">
        <w:rPr>
          <w:rFonts w:ascii="Times New Roman" w:hAnsi="Times New Roman" w:cs="Times New Roman"/>
          <w:color w:val="000000"/>
          <w:sz w:val="24"/>
          <w:szCs w:val="24"/>
          <w:shd w:val="clear" w:color="auto" w:fill="FFFFFF"/>
        </w:rPr>
        <w:t>Mediterranean</w:t>
      </w:r>
      <w:r w:rsidR="00964FD2" w:rsidRPr="006E04D7">
        <w:rPr>
          <w:rFonts w:ascii="Times New Roman" w:hAnsi="Times New Roman" w:cs="Times New Roman"/>
          <w:color w:val="000000"/>
          <w:sz w:val="24"/>
          <w:szCs w:val="24"/>
          <w:shd w:val="clear" w:color="auto" w:fill="FFFFFF"/>
        </w:rPr>
        <w:t xml:space="preserve"> compared to the other two region</w:t>
      </w:r>
      <w:r w:rsidR="00174BF0" w:rsidRPr="006E04D7">
        <w:rPr>
          <w:rFonts w:ascii="Times New Roman" w:hAnsi="Times New Roman" w:cs="Times New Roman"/>
          <w:color w:val="000000"/>
          <w:sz w:val="24"/>
          <w:szCs w:val="24"/>
          <w:shd w:val="clear" w:color="auto" w:fill="FFFFFF"/>
        </w:rPr>
        <w:t>s</w:t>
      </w:r>
      <w:r w:rsidR="00964FD2" w:rsidRPr="006E04D7">
        <w:rPr>
          <w:rFonts w:ascii="Times New Roman" w:hAnsi="Times New Roman" w:cs="Times New Roman"/>
          <w:color w:val="000000"/>
          <w:sz w:val="24"/>
          <w:szCs w:val="24"/>
          <w:shd w:val="clear" w:color="auto" w:fill="FFFFFF"/>
        </w:rPr>
        <w:t xml:space="preserve"> which calls for more strict regulation on illegal activities</w:t>
      </w:r>
      <w:r w:rsidR="00174BF0" w:rsidRPr="006E04D7">
        <w:rPr>
          <w:rFonts w:ascii="Times New Roman" w:hAnsi="Times New Roman" w:cs="Times New Roman"/>
          <w:color w:val="000000"/>
          <w:sz w:val="24"/>
          <w:szCs w:val="24"/>
          <w:shd w:val="clear" w:color="auto" w:fill="FFFFFF"/>
        </w:rPr>
        <w:t xml:space="preserve"> and reporting</w:t>
      </w:r>
      <w:r w:rsidR="00964FD2" w:rsidRPr="006E04D7">
        <w:rPr>
          <w:rFonts w:ascii="Times New Roman" w:hAnsi="Times New Roman" w:cs="Times New Roman"/>
          <w:color w:val="000000"/>
          <w:sz w:val="24"/>
          <w:szCs w:val="24"/>
          <w:shd w:val="clear" w:color="auto" w:fill="FFFFFF"/>
        </w:rPr>
        <w:t xml:space="preserve"> within that </w:t>
      </w:r>
      <w:r w:rsidR="00ED45AA" w:rsidRPr="006E04D7">
        <w:rPr>
          <w:rFonts w:ascii="Times New Roman" w:hAnsi="Times New Roman" w:cs="Times New Roman"/>
          <w:color w:val="000000"/>
          <w:sz w:val="24"/>
          <w:szCs w:val="24"/>
          <w:shd w:val="clear" w:color="auto" w:fill="FFFFFF"/>
        </w:rPr>
        <w:t>area</w:t>
      </w:r>
      <w:r w:rsidR="00964FD2" w:rsidRPr="006E04D7">
        <w:rPr>
          <w:rFonts w:ascii="Times New Roman" w:hAnsi="Times New Roman" w:cs="Times New Roman"/>
          <w:color w:val="000000"/>
          <w:sz w:val="24"/>
          <w:szCs w:val="24"/>
          <w:shd w:val="clear" w:color="auto" w:fill="FFFFFF"/>
        </w:rPr>
        <w:t>.</w:t>
      </w:r>
    </w:p>
    <w:p w14:paraId="553B0585" w14:textId="77777777" w:rsidR="00204779" w:rsidRDefault="004A7F9F" w:rsidP="00092CEA">
      <w:pPr>
        <w:spacing w:line="360" w:lineRule="auto"/>
        <w:jc w:val="both"/>
        <w:rPr>
          <w:rFonts w:ascii="Times New Roman" w:hAnsi="Times New Roman" w:cs="Times New Roman"/>
          <w:color w:val="000000"/>
          <w:sz w:val="24"/>
          <w:szCs w:val="24"/>
          <w:shd w:val="clear" w:color="auto" w:fill="FFFFFF"/>
        </w:rPr>
      </w:pPr>
      <w:r w:rsidRPr="006E04D7">
        <w:rPr>
          <w:rFonts w:ascii="Times New Roman" w:hAnsi="Times New Roman" w:cs="Times New Roman"/>
          <w:color w:val="000000"/>
          <w:sz w:val="24"/>
          <w:szCs w:val="24"/>
          <w:shd w:val="clear" w:color="auto" w:fill="FFFFFF"/>
        </w:rPr>
        <w:t xml:space="preserve">The Atlantic </w:t>
      </w:r>
      <w:r w:rsidR="00204779" w:rsidRPr="006E04D7">
        <w:rPr>
          <w:rFonts w:ascii="Times New Roman" w:hAnsi="Times New Roman" w:cs="Times New Roman"/>
          <w:color w:val="000000"/>
          <w:sz w:val="24"/>
          <w:szCs w:val="24"/>
          <w:shd w:val="clear" w:color="auto" w:fill="FFFFFF"/>
        </w:rPr>
        <w:t xml:space="preserve">BFT is a </w:t>
      </w:r>
      <w:r w:rsidRPr="006E04D7">
        <w:rPr>
          <w:rFonts w:ascii="Times New Roman" w:hAnsi="Times New Roman" w:cs="Times New Roman"/>
          <w:color w:val="000000"/>
          <w:sz w:val="24"/>
          <w:szCs w:val="24"/>
          <w:shd w:val="clear" w:color="auto" w:fill="FFFFFF"/>
        </w:rPr>
        <w:t xml:space="preserve">precious marine resource from which many </w:t>
      </w:r>
      <w:r w:rsidR="00E759F4" w:rsidRPr="006E04D7">
        <w:rPr>
          <w:rFonts w:ascii="Times New Roman" w:hAnsi="Times New Roman" w:cs="Times New Roman"/>
          <w:color w:val="000000"/>
          <w:sz w:val="24"/>
          <w:szCs w:val="24"/>
          <w:shd w:val="clear" w:color="auto" w:fill="FFFFFF"/>
        </w:rPr>
        <w:t xml:space="preserve">local </w:t>
      </w:r>
      <w:r w:rsidRPr="006E04D7">
        <w:rPr>
          <w:rFonts w:ascii="Times New Roman" w:hAnsi="Times New Roman" w:cs="Times New Roman"/>
          <w:color w:val="000000"/>
          <w:sz w:val="24"/>
          <w:szCs w:val="24"/>
          <w:shd w:val="clear" w:color="auto" w:fill="FFFFFF"/>
        </w:rPr>
        <w:t xml:space="preserve">industries benefit. The </w:t>
      </w:r>
      <w:r w:rsidR="00E759F4" w:rsidRPr="006E04D7">
        <w:rPr>
          <w:rFonts w:ascii="Times New Roman" w:hAnsi="Times New Roman" w:cs="Times New Roman"/>
          <w:color w:val="000000"/>
          <w:sz w:val="24"/>
          <w:szCs w:val="24"/>
          <w:shd w:val="clear" w:color="auto" w:fill="FFFFFF"/>
        </w:rPr>
        <w:t xml:space="preserve">future research avenues could focus on the </w:t>
      </w:r>
      <w:r w:rsidRPr="006E04D7">
        <w:rPr>
          <w:rFonts w:ascii="Times New Roman" w:hAnsi="Times New Roman" w:cs="Times New Roman"/>
          <w:color w:val="000000"/>
          <w:sz w:val="24"/>
          <w:szCs w:val="24"/>
          <w:shd w:val="clear" w:color="auto" w:fill="FFFFFF"/>
        </w:rPr>
        <w:t>sustainable management measures to protec</w:t>
      </w:r>
      <w:r w:rsidR="00ED45AA" w:rsidRPr="006E04D7">
        <w:rPr>
          <w:rFonts w:ascii="Times New Roman" w:hAnsi="Times New Roman" w:cs="Times New Roman"/>
          <w:color w:val="000000"/>
          <w:sz w:val="24"/>
          <w:szCs w:val="24"/>
          <w:shd w:val="clear" w:color="auto" w:fill="FFFFFF"/>
        </w:rPr>
        <w:t>t this specie</w:t>
      </w:r>
      <w:r w:rsidR="00E759F4" w:rsidRPr="006E04D7">
        <w:rPr>
          <w:rFonts w:ascii="Times New Roman" w:hAnsi="Times New Roman" w:cs="Times New Roman"/>
          <w:color w:val="000000"/>
          <w:sz w:val="24"/>
          <w:szCs w:val="24"/>
          <w:shd w:val="clear" w:color="auto" w:fill="FFFFFF"/>
        </w:rPr>
        <w:t>s and ensure</w:t>
      </w:r>
      <w:r w:rsidR="00ED45AA" w:rsidRPr="006E04D7">
        <w:rPr>
          <w:rFonts w:ascii="Times New Roman" w:hAnsi="Times New Roman" w:cs="Times New Roman"/>
          <w:color w:val="000000"/>
          <w:sz w:val="24"/>
          <w:szCs w:val="24"/>
          <w:shd w:val="clear" w:color="auto" w:fill="FFFFFF"/>
        </w:rPr>
        <w:t xml:space="preserve"> the</w:t>
      </w:r>
      <w:r w:rsidR="00E759F4" w:rsidRPr="006E04D7">
        <w:rPr>
          <w:rFonts w:ascii="Times New Roman" w:hAnsi="Times New Roman" w:cs="Times New Roman"/>
          <w:color w:val="000000"/>
          <w:sz w:val="24"/>
          <w:szCs w:val="24"/>
          <w:shd w:val="clear" w:color="auto" w:fill="FFFFFF"/>
        </w:rPr>
        <w:t xml:space="preserve"> economic</w:t>
      </w:r>
      <w:r w:rsidR="00ED45AA" w:rsidRPr="006E04D7">
        <w:rPr>
          <w:rFonts w:ascii="Times New Roman" w:hAnsi="Times New Roman" w:cs="Times New Roman"/>
          <w:color w:val="000000"/>
          <w:sz w:val="24"/>
          <w:szCs w:val="24"/>
          <w:shd w:val="clear" w:color="auto" w:fill="FFFFFF"/>
        </w:rPr>
        <w:t xml:space="preserve"> continuity of this sector. </w:t>
      </w:r>
    </w:p>
    <w:p w14:paraId="544F92B6" w14:textId="77777777" w:rsidR="00A33313" w:rsidRPr="006E04D7" w:rsidRDefault="00A33313" w:rsidP="00A33313">
      <w:pPr>
        <w:pStyle w:val="Heading1"/>
        <w:numPr>
          <w:ilvl w:val="0"/>
          <w:numId w:val="0"/>
        </w:numPr>
        <w:ind w:left="360" w:hanging="360"/>
        <w:rPr>
          <w:rFonts w:ascii="Times New Roman" w:hAnsi="Times New Roman" w:cs="Times New Roman"/>
          <w:shd w:val="clear" w:color="auto" w:fill="FFFFFF"/>
        </w:rPr>
      </w:pPr>
      <w:r w:rsidRPr="006E04D7">
        <w:rPr>
          <w:rFonts w:ascii="Times New Roman" w:hAnsi="Times New Roman" w:cs="Times New Roman"/>
          <w:shd w:val="clear" w:color="auto" w:fill="FFFFFF"/>
        </w:rPr>
        <w:t>Acknowledgements</w:t>
      </w:r>
    </w:p>
    <w:p w14:paraId="0BBC3BCB" w14:textId="77777777" w:rsidR="00DC5FA0" w:rsidRPr="006E04D7" w:rsidRDefault="00A33313" w:rsidP="00092CEA">
      <w:pPr>
        <w:spacing w:line="360" w:lineRule="auto"/>
        <w:jc w:val="both"/>
        <w:rPr>
          <w:rFonts w:ascii="Times New Roman" w:hAnsi="Times New Roman" w:cs="Times New Roman"/>
          <w:color w:val="000000"/>
          <w:sz w:val="24"/>
          <w:szCs w:val="24"/>
          <w:shd w:val="clear" w:color="auto" w:fill="FFFFFF"/>
        </w:rPr>
      </w:pPr>
      <w:r w:rsidRPr="006E04D7">
        <w:rPr>
          <w:rFonts w:ascii="Times New Roman" w:hAnsi="Times New Roman" w:cs="Times New Roman"/>
          <w:color w:val="000000"/>
          <w:sz w:val="24"/>
          <w:szCs w:val="24"/>
          <w:shd w:val="clear" w:color="auto" w:fill="FFFFFF"/>
        </w:rPr>
        <w:t xml:space="preserve">This research has received funding from the </w:t>
      </w:r>
      <w:r w:rsidR="00204779" w:rsidRPr="006E04D7">
        <w:rPr>
          <w:rFonts w:ascii="Times New Roman" w:hAnsi="Times New Roman" w:cs="Times New Roman"/>
          <w:color w:val="000000"/>
          <w:sz w:val="24"/>
          <w:szCs w:val="24"/>
          <w:shd w:val="clear" w:color="auto" w:fill="FFFFFF"/>
        </w:rPr>
        <w:t>European Union</w:t>
      </w:r>
      <w:r w:rsidRPr="006E04D7">
        <w:rPr>
          <w:rFonts w:ascii="Times New Roman" w:hAnsi="Times New Roman" w:cs="Times New Roman"/>
          <w:color w:val="000000"/>
          <w:sz w:val="24"/>
          <w:szCs w:val="24"/>
          <w:shd w:val="clear" w:color="auto" w:fill="FFFFFF"/>
        </w:rPr>
        <w:t xml:space="preserve"> Horizon 20</w:t>
      </w:r>
      <w:r w:rsidR="00964FD2" w:rsidRPr="006E04D7">
        <w:rPr>
          <w:rFonts w:ascii="Times New Roman" w:hAnsi="Times New Roman" w:cs="Times New Roman"/>
          <w:color w:val="000000"/>
          <w:sz w:val="24"/>
          <w:szCs w:val="24"/>
          <w:shd w:val="clear" w:color="auto" w:fill="FFFFFF"/>
        </w:rPr>
        <w:t>20 project, PANDORA</w:t>
      </w:r>
      <w:r w:rsidR="00204779" w:rsidRPr="006E04D7">
        <w:rPr>
          <w:rFonts w:ascii="Times New Roman" w:hAnsi="Times New Roman" w:cs="Times New Roman"/>
          <w:color w:val="000000"/>
          <w:sz w:val="24"/>
          <w:szCs w:val="24"/>
          <w:shd w:val="clear" w:color="auto" w:fill="FFFFFF"/>
        </w:rPr>
        <w:t>,</w:t>
      </w:r>
      <w:r w:rsidR="00964FD2" w:rsidRPr="006E04D7">
        <w:rPr>
          <w:rFonts w:ascii="Times New Roman" w:hAnsi="Times New Roman" w:cs="Times New Roman"/>
          <w:color w:val="000000"/>
          <w:sz w:val="24"/>
          <w:szCs w:val="24"/>
          <w:shd w:val="clear" w:color="auto" w:fill="FFFFFF"/>
        </w:rPr>
        <w:t xml:space="preserve"> grant numbe</w:t>
      </w:r>
      <w:r w:rsidR="00204779" w:rsidRPr="006E04D7">
        <w:rPr>
          <w:rFonts w:ascii="Times New Roman" w:hAnsi="Times New Roman" w:cs="Times New Roman"/>
          <w:color w:val="000000"/>
          <w:sz w:val="24"/>
          <w:szCs w:val="24"/>
          <w:shd w:val="clear" w:color="auto" w:fill="FFFFFF"/>
        </w:rPr>
        <w:t>r 773713.</w:t>
      </w:r>
    </w:p>
    <w:p w14:paraId="4F4E8EE5" w14:textId="77777777" w:rsidR="007A1451" w:rsidRPr="006E04D7" w:rsidRDefault="007A1451" w:rsidP="00092CEA">
      <w:pPr>
        <w:spacing w:line="360" w:lineRule="auto"/>
        <w:jc w:val="both"/>
        <w:rPr>
          <w:rFonts w:ascii="Times New Roman" w:hAnsi="Times New Roman" w:cs="Times New Roman"/>
          <w:color w:val="000000"/>
          <w:sz w:val="24"/>
          <w:szCs w:val="24"/>
          <w:shd w:val="clear" w:color="auto" w:fill="FFFFFF"/>
        </w:rPr>
      </w:pPr>
    </w:p>
    <w:p w14:paraId="13CCD138" w14:textId="77777777" w:rsidR="00FA10BC" w:rsidRPr="006E04D7" w:rsidRDefault="003C173B" w:rsidP="00092CEA">
      <w:pPr>
        <w:pStyle w:val="Heading1"/>
        <w:numPr>
          <w:ilvl w:val="0"/>
          <w:numId w:val="0"/>
        </w:numPr>
        <w:spacing w:line="360" w:lineRule="auto"/>
        <w:rPr>
          <w:rFonts w:ascii="Times New Roman" w:hAnsi="Times New Roman" w:cs="Times New Roman"/>
        </w:rPr>
      </w:pPr>
      <w:r w:rsidRPr="006E04D7">
        <w:rPr>
          <w:rFonts w:ascii="Times New Roman" w:hAnsi="Times New Roman" w:cs="Times New Roman"/>
        </w:rPr>
        <w:lastRenderedPageBreak/>
        <w:t>Reference</w:t>
      </w:r>
    </w:p>
    <w:p w14:paraId="338305A5" w14:textId="77777777" w:rsidR="00CB2334" w:rsidRPr="00CB2334" w:rsidRDefault="00FA10BC" w:rsidP="00CB2334">
      <w:pPr>
        <w:spacing w:after="0" w:line="240" w:lineRule="auto"/>
        <w:ind w:left="720" w:hanging="720"/>
        <w:jc w:val="both"/>
        <w:rPr>
          <w:rFonts w:ascii="Calibri" w:hAnsi="Calibri" w:cs="Calibri"/>
          <w:noProof/>
          <w:szCs w:val="24"/>
        </w:rPr>
      </w:pPr>
      <w:r w:rsidRPr="006E04D7">
        <w:rPr>
          <w:rFonts w:ascii="Times New Roman" w:hAnsi="Times New Roman" w:cs="Times New Roman"/>
          <w:sz w:val="24"/>
          <w:szCs w:val="24"/>
        </w:rPr>
        <w:fldChar w:fldCharType="begin"/>
      </w:r>
      <w:r w:rsidRPr="006E04D7">
        <w:rPr>
          <w:rFonts w:ascii="Times New Roman" w:hAnsi="Times New Roman" w:cs="Times New Roman"/>
          <w:sz w:val="24"/>
          <w:szCs w:val="24"/>
        </w:rPr>
        <w:instrText xml:space="preserve"> ADDIN EN.REFLIST </w:instrText>
      </w:r>
      <w:r w:rsidRPr="006E04D7">
        <w:rPr>
          <w:rFonts w:ascii="Times New Roman" w:hAnsi="Times New Roman" w:cs="Times New Roman"/>
          <w:sz w:val="24"/>
          <w:szCs w:val="24"/>
        </w:rPr>
        <w:fldChar w:fldCharType="separate"/>
      </w:r>
      <w:bookmarkStart w:id="2" w:name="_ENREF_1"/>
      <w:r w:rsidR="00CB2334" w:rsidRPr="00CB2334">
        <w:rPr>
          <w:rFonts w:ascii="Calibri" w:hAnsi="Calibri" w:cs="Calibri"/>
          <w:noProof/>
          <w:szCs w:val="24"/>
        </w:rPr>
        <w:t>1.</w:t>
      </w:r>
      <w:r w:rsidR="00CB2334" w:rsidRPr="00CB2334">
        <w:rPr>
          <w:rFonts w:ascii="Calibri" w:hAnsi="Calibri" w:cs="Calibri"/>
          <w:noProof/>
          <w:szCs w:val="24"/>
        </w:rPr>
        <w:tab/>
        <w:t xml:space="preserve">Reygondeau, G., et al., </w:t>
      </w:r>
      <w:r w:rsidR="00CB2334" w:rsidRPr="00CB2334">
        <w:rPr>
          <w:rFonts w:ascii="Calibri" w:hAnsi="Calibri" w:cs="Calibri"/>
          <w:i/>
          <w:noProof/>
          <w:szCs w:val="24"/>
        </w:rPr>
        <w:t>Biogeography of tuna and billfish communities.</w:t>
      </w:r>
      <w:r w:rsidR="00CB2334" w:rsidRPr="00CB2334">
        <w:rPr>
          <w:rFonts w:ascii="Calibri" w:hAnsi="Calibri" w:cs="Calibri"/>
          <w:noProof/>
          <w:szCs w:val="24"/>
        </w:rPr>
        <w:t xml:space="preserve"> Journal of Biogeography, 2011. </w:t>
      </w:r>
      <w:r w:rsidR="00CB2334" w:rsidRPr="00CB2334">
        <w:rPr>
          <w:rFonts w:ascii="Calibri" w:hAnsi="Calibri" w:cs="Calibri"/>
          <w:b/>
          <w:noProof/>
          <w:szCs w:val="24"/>
        </w:rPr>
        <w:t>39</w:t>
      </w:r>
      <w:r w:rsidR="00CB2334" w:rsidRPr="00CB2334">
        <w:rPr>
          <w:rFonts w:ascii="Calibri" w:hAnsi="Calibri" w:cs="Calibri"/>
          <w:noProof/>
          <w:szCs w:val="24"/>
        </w:rPr>
        <w:t>: p. 114-129.</w:t>
      </w:r>
      <w:bookmarkEnd w:id="2"/>
    </w:p>
    <w:p w14:paraId="447C5C8A" w14:textId="77777777" w:rsidR="00CB2334" w:rsidRPr="00CB2334" w:rsidRDefault="00CB2334" w:rsidP="00CB2334">
      <w:pPr>
        <w:spacing w:after="0" w:line="240" w:lineRule="auto"/>
        <w:ind w:left="720" w:hanging="720"/>
        <w:jc w:val="both"/>
        <w:rPr>
          <w:rFonts w:ascii="Calibri" w:hAnsi="Calibri" w:cs="Calibri"/>
          <w:noProof/>
          <w:szCs w:val="24"/>
        </w:rPr>
      </w:pPr>
      <w:bookmarkStart w:id="3" w:name="_ENREF_2"/>
      <w:r w:rsidRPr="00CB2334">
        <w:rPr>
          <w:rFonts w:ascii="Calibri" w:hAnsi="Calibri" w:cs="Calibri"/>
          <w:noProof/>
          <w:szCs w:val="24"/>
        </w:rPr>
        <w:t>2.</w:t>
      </w:r>
      <w:r w:rsidRPr="00CB2334">
        <w:rPr>
          <w:rFonts w:ascii="Calibri" w:hAnsi="Calibri" w:cs="Calibri"/>
          <w:noProof/>
          <w:szCs w:val="24"/>
        </w:rPr>
        <w:tab/>
        <w:t xml:space="preserve">Abascal, F.J., et al., </w:t>
      </w:r>
      <w:r w:rsidRPr="00CB2334">
        <w:rPr>
          <w:rFonts w:ascii="Calibri" w:hAnsi="Calibri" w:cs="Calibri"/>
          <w:i/>
          <w:noProof/>
          <w:szCs w:val="24"/>
        </w:rPr>
        <w:t>Tracking bluefin tuna reproductive migration into the Mediterranean Sea with electronic pop-up satellite archival tags using two tagging procedures.</w:t>
      </w:r>
      <w:r w:rsidRPr="00CB2334">
        <w:rPr>
          <w:rFonts w:ascii="Calibri" w:hAnsi="Calibri" w:cs="Calibri"/>
          <w:noProof/>
          <w:szCs w:val="24"/>
        </w:rPr>
        <w:t xml:space="preserve"> Fisheries Oceanography, 2016. </w:t>
      </w:r>
      <w:r w:rsidRPr="00CB2334">
        <w:rPr>
          <w:rFonts w:ascii="Calibri" w:hAnsi="Calibri" w:cs="Calibri"/>
          <w:b/>
          <w:noProof/>
          <w:szCs w:val="24"/>
        </w:rPr>
        <w:t>25</w:t>
      </w:r>
      <w:r w:rsidRPr="00CB2334">
        <w:rPr>
          <w:rFonts w:ascii="Calibri" w:hAnsi="Calibri" w:cs="Calibri"/>
          <w:noProof/>
          <w:szCs w:val="24"/>
        </w:rPr>
        <w:t>(1): p. 54-66.</w:t>
      </w:r>
      <w:bookmarkEnd w:id="3"/>
    </w:p>
    <w:p w14:paraId="71F6EC8D" w14:textId="77777777" w:rsidR="00CB2334" w:rsidRPr="00CB2334" w:rsidRDefault="00CB2334" w:rsidP="00CB2334">
      <w:pPr>
        <w:spacing w:after="0" w:line="240" w:lineRule="auto"/>
        <w:ind w:left="720" w:hanging="720"/>
        <w:jc w:val="both"/>
        <w:rPr>
          <w:rFonts w:ascii="Calibri" w:hAnsi="Calibri" w:cs="Calibri"/>
          <w:noProof/>
          <w:szCs w:val="24"/>
        </w:rPr>
      </w:pPr>
      <w:bookmarkStart w:id="4" w:name="_ENREF_3"/>
      <w:r w:rsidRPr="00CB2334">
        <w:rPr>
          <w:rFonts w:ascii="Calibri" w:hAnsi="Calibri" w:cs="Calibri"/>
          <w:noProof/>
          <w:szCs w:val="24"/>
        </w:rPr>
        <w:t>3.</w:t>
      </w:r>
      <w:r w:rsidRPr="00CB2334">
        <w:rPr>
          <w:rFonts w:ascii="Calibri" w:hAnsi="Calibri" w:cs="Calibri"/>
          <w:noProof/>
          <w:szCs w:val="24"/>
        </w:rPr>
        <w:tab/>
        <w:t xml:space="preserve">Fromentin, J.M., </w:t>
      </w:r>
      <w:r w:rsidRPr="00CB2334">
        <w:rPr>
          <w:rFonts w:ascii="Calibri" w:hAnsi="Calibri" w:cs="Calibri"/>
          <w:i/>
          <w:noProof/>
          <w:szCs w:val="24"/>
        </w:rPr>
        <w:t>Lessons from the past: investigating historical data frombluefin tuna fisheries.</w:t>
      </w:r>
      <w:r w:rsidRPr="00CB2334">
        <w:rPr>
          <w:rFonts w:ascii="Calibri" w:hAnsi="Calibri" w:cs="Calibri"/>
          <w:noProof/>
          <w:szCs w:val="24"/>
        </w:rPr>
        <w:t xml:space="preserve"> Fish and Fisheries, 2009. </w:t>
      </w:r>
      <w:r w:rsidRPr="00CB2334">
        <w:rPr>
          <w:rFonts w:ascii="Calibri" w:hAnsi="Calibri" w:cs="Calibri"/>
          <w:b/>
          <w:noProof/>
          <w:szCs w:val="24"/>
        </w:rPr>
        <w:t>10</w:t>
      </w:r>
      <w:r w:rsidRPr="00CB2334">
        <w:rPr>
          <w:rFonts w:ascii="Calibri" w:hAnsi="Calibri" w:cs="Calibri"/>
          <w:noProof/>
          <w:szCs w:val="24"/>
        </w:rPr>
        <w:t>: p. 197-216.</w:t>
      </w:r>
      <w:bookmarkEnd w:id="4"/>
    </w:p>
    <w:p w14:paraId="28DDD5EF" w14:textId="77777777" w:rsidR="00CB2334" w:rsidRPr="00CB2334" w:rsidRDefault="00CB2334" w:rsidP="00CB2334">
      <w:pPr>
        <w:spacing w:after="0" w:line="240" w:lineRule="auto"/>
        <w:ind w:left="720" w:hanging="720"/>
        <w:jc w:val="both"/>
        <w:rPr>
          <w:rFonts w:ascii="Calibri" w:hAnsi="Calibri" w:cs="Calibri"/>
          <w:noProof/>
          <w:szCs w:val="24"/>
        </w:rPr>
      </w:pPr>
      <w:bookmarkStart w:id="5" w:name="_ENREF_4"/>
      <w:r w:rsidRPr="00CB2334">
        <w:rPr>
          <w:rFonts w:ascii="Calibri" w:hAnsi="Calibri" w:cs="Calibri"/>
          <w:noProof/>
          <w:szCs w:val="24"/>
        </w:rPr>
        <w:t>4.</w:t>
      </w:r>
      <w:r w:rsidRPr="00CB2334">
        <w:rPr>
          <w:rFonts w:ascii="Calibri" w:hAnsi="Calibri" w:cs="Calibri"/>
          <w:noProof/>
          <w:szCs w:val="24"/>
        </w:rPr>
        <w:tab/>
        <w:t xml:space="preserve">Fromentin, J.M. and A. Fonteneau, </w:t>
      </w:r>
      <w:r w:rsidRPr="00CB2334">
        <w:rPr>
          <w:rFonts w:ascii="Calibri" w:hAnsi="Calibri" w:cs="Calibri"/>
          <w:i/>
          <w:noProof/>
          <w:szCs w:val="24"/>
        </w:rPr>
        <w:t>Fishing effects and life history traits: A case study comparing tropical versus temperate tunas.</w:t>
      </w:r>
      <w:r w:rsidRPr="00CB2334">
        <w:rPr>
          <w:rFonts w:ascii="Calibri" w:hAnsi="Calibri" w:cs="Calibri"/>
          <w:noProof/>
          <w:szCs w:val="24"/>
        </w:rPr>
        <w:t xml:space="preserve"> Fisheries Research, 2001. </w:t>
      </w:r>
      <w:r w:rsidRPr="00CB2334">
        <w:rPr>
          <w:rFonts w:ascii="Calibri" w:hAnsi="Calibri" w:cs="Calibri"/>
          <w:b/>
          <w:noProof/>
          <w:szCs w:val="24"/>
        </w:rPr>
        <w:t>53</w:t>
      </w:r>
      <w:r w:rsidRPr="00CB2334">
        <w:rPr>
          <w:rFonts w:ascii="Calibri" w:hAnsi="Calibri" w:cs="Calibri"/>
          <w:noProof/>
          <w:szCs w:val="24"/>
        </w:rPr>
        <w:t>: p. 133-150.</w:t>
      </w:r>
      <w:bookmarkEnd w:id="5"/>
    </w:p>
    <w:p w14:paraId="6164FD46" w14:textId="77777777" w:rsidR="00CB2334" w:rsidRPr="00CB2334" w:rsidRDefault="00CB2334" w:rsidP="00CB2334">
      <w:pPr>
        <w:spacing w:after="0" w:line="240" w:lineRule="auto"/>
        <w:ind w:left="720" w:hanging="720"/>
        <w:jc w:val="both"/>
        <w:rPr>
          <w:rFonts w:ascii="Calibri" w:hAnsi="Calibri" w:cs="Calibri"/>
          <w:noProof/>
          <w:szCs w:val="24"/>
        </w:rPr>
      </w:pPr>
      <w:bookmarkStart w:id="6" w:name="_ENREF_5"/>
      <w:r w:rsidRPr="00CB2334">
        <w:rPr>
          <w:rFonts w:ascii="Calibri" w:hAnsi="Calibri" w:cs="Calibri"/>
          <w:noProof/>
          <w:szCs w:val="24"/>
        </w:rPr>
        <w:t>5.</w:t>
      </w:r>
      <w:r w:rsidRPr="00CB2334">
        <w:rPr>
          <w:rFonts w:ascii="Calibri" w:hAnsi="Calibri" w:cs="Calibri"/>
          <w:noProof/>
          <w:szCs w:val="24"/>
        </w:rPr>
        <w:tab/>
        <w:t xml:space="preserve">Fromentin, J.M. and C. Ravier, </w:t>
      </w:r>
      <w:r w:rsidRPr="00CB2334">
        <w:rPr>
          <w:rFonts w:ascii="Calibri" w:hAnsi="Calibri" w:cs="Calibri"/>
          <w:i/>
          <w:noProof/>
          <w:szCs w:val="24"/>
        </w:rPr>
        <w:t>The East Atlantic and Mediterranean Bluefin Tuna Stock: Looking for Sustainability in a Context of Large Uncertainties and Strong Political Pressures.</w:t>
      </w:r>
      <w:r w:rsidRPr="00CB2334">
        <w:rPr>
          <w:rFonts w:ascii="Calibri" w:hAnsi="Calibri" w:cs="Calibri"/>
          <w:noProof/>
          <w:szCs w:val="24"/>
        </w:rPr>
        <w:t xml:space="preserve"> Bulletin of Marine Science, 2005. </w:t>
      </w:r>
      <w:r w:rsidRPr="00CB2334">
        <w:rPr>
          <w:rFonts w:ascii="Calibri" w:hAnsi="Calibri" w:cs="Calibri"/>
          <w:b/>
          <w:noProof/>
          <w:szCs w:val="24"/>
        </w:rPr>
        <w:t>76</w:t>
      </w:r>
      <w:r w:rsidRPr="00CB2334">
        <w:rPr>
          <w:rFonts w:ascii="Calibri" w:hAnsi="Calibri" w:cs="Calibri"/>
          <w:noProof/>
          <w:szCs w:val="24"/>
        </w:rPr>
        <w:t>: p. 353-362.</w:t>
      </w:r>
      <w:bookmarkEnd w:id="6"/>
    </w:p>
    <w:p w14:paraId="7A556342" w14:textId="77777777" w:rsidR="00CB2334" w:rsidRPr="00CB2334" w:rsidRDefault="00CB2334" w:rsidP="00CB2334">
      <w:pPr>
        <w:spacing w:after="0" w:line="240" w:lineRule="auto"/>
        <w:ind w:left="720" w:hanging="720"/>
        <w:jc w:val="both"/>
        <w:rPr>
          <w:rFonts w:ascii="Calibri" w:hAnsi="Calibri" w:cs="Calibri"/>
          <w:noProof/>
          <w:szCs w:val="24"/>
        </w:rPr>
      </w:pPr>
      <w:bookmarkStart w:id="7" w:name="_ENREF_6"/>
      <w:r w:rsidRPr="00CB2334">
        <w:rPr>
          <w:rFonts w:ascii="Calibri" w:hAnsi="Calibri" w:cs="Calibri"/>
          <w:noProof/>
          <w:szCs w:val="24"/>
        </w:rPr>
        <w:t>6.</w:t>
      </w:r>
      <w:r w:rsidRPr="00CB2334">
        <w:rPr>
          <w:rFonts w:ascii="Calibri" w:hAnsi="Calibri" w:cs="Calibri"/>
          <w:noProof/>
          <w:szCs w:val="24"/>
        </w:rPr>
        <w:tab/>
        <w:t xml:space="preserve">Arrizabalaga, H., et al., </w:t>
      </w:r>
      <w:r w:rsidRPr="00CB2334">
        <w:rPr>
          <w:rFonts w:ascii="Calibri" w:hAnsi="Calibri" w:cs="Calibri"/>
          <w:i/>
          <w:noProof/>
          <w:szCs w:val="24"/>
        </w:rPr>
        <w:t>Global habitat preferences of commercially valuable tuna.</w:t>
      </w:r>
      <w:r w:rsidRPr="00CB2334">
        <w:rPr>
          <w:rFonts w:ascii="Calibri" w:hAnsi="Calibri" w:cs="Calibri"/>
          <w:noProof/>
          <w:szCs w:val="24"/>
        </w:rPr>
        <w:t xml:space="preserve"> Deep-Sea Research II, 2015. </w:t>
      </w:r>
      <w:r w:rsidRPr="00CB2334">
        <w:rPr>
          <w:rFonts w:ascii="Calibri" w:hAnsi="Calibri" w:cs="Calibri"/>
          <w:b/>
          <w:noProof/>
          <w:szCs w:val="24"/>
        </w:rPr>
        <w:t>113</w:t>
      </w:r>
      <w:r w:rsidRPr="00CB2334">
        <w:rPr>
          <w:rFonts w:ascii="Calibri" w:hAnsi="Calibri" w:cs="Calibri"/>
          <w:noProof/>
          <w:szCs w:val="24"/>
        </w:rPr>
        <w:t>: p. 102-112.</w:t>
      </w:r>
      <w:bookmarkEnd w:id="7"/>
    </w:p>
    <w:p w14:paraId="38CDCC58" w14:textId="77777777" w:rsidR="00CB2334" w:rsidRPr="00CB2334" w:rsidRDefault="00CB2334" w:rsidP="00CB2334">
      <w:pPr>
        <w:spacing w:after="0" w:line="240" w:lineRule="auto"/>
        <w:ind w:left="720" w:hanging="720"/>
        <w:jc w:val="both"/>
        <w:rPr>
          <w:rFonts w:ascii="Calibri" w:hAnsi="Calibri" w:cs="Calibri"/>
          <w:noProof/>
          <w:szCs w:val="24"/>
        </w:rPr>
      </w:pPr>
      <w:bookmarkStart w:id="8" w:name="_ENREF_7"/>
      <w:r w:rsidRPr="00CB2334">
        <w:rPr>
          <w:rFonts w:ascii="Calibri" w:hAnsi="Calibri" w:cs="Calibri"/>
          <w:noProof/>
          <w:szCs w:val="24"/>
        </w:rPr>
        <w:t>7.</w:t>
      </w:r>
      <w:r w:rsidRPr="00CB2334">
        <w:rPr>
          <w:rFonts w:ascii="Calibri" w:hAnsi="Calibri" w:cs="Calibri"/>
          <w:noProof/>
          <w:szCs w:val="24"/>
        </w:rPr>
        <w:tab/>
        <w:t xml:space="preserve">Schick, R.S. and M.E. Lutcavage, </w:t>
      </w:r>
      <w:r w:rsidRPr="00CB2334">
        <w:rPr>
          <w:rFonts w:ascii="Calibri" w:hAnsi="Calibri" w:cs="Calibri"/>
          <w:i/>
          <w:noProof/>
          <w:szCs w:val="24"/>
        </w:rPr>
        <w:t>Inclusion of prey data improves prediction of bluefin tuna (Thunnus thynnus) distribution.</w:t>
      </w:r>
      <w:r w:rsidRPr="00CB2334">
        <w:rPr>
          <w:rFonts w:ascii="Calibri" w:hAnsi="Calibri" w:cs="Calibri"/>
          <w:noProof/>
          <w:szCs w:val="24"/>
        </w:rPr>
        <w:t xml:space="preserve"> Fisheries Oceanography, 2009. </w:t>
      </w:r>
      <w:r w:rsidRPr="00CB2334">
        <w:rPr>
          <w:rFonts w:ascii="Calibri" w:hAnsi="Calibri" w:cs="Calibri"/>
          <w:b/>
          <w:noProof/>
          <w:szCs w:val="24"/>
        </w:rPr>
        <w:t>18</w:t>
      </w:r>
      <w:r w:rsidRPr="00CB2334">
        <w:rPr>
          <w:rFonts w:ascii="Calibri" w:hAnsi="Calibri" w:cs="Calibri"/>
          <w:noProof/>
          <w:szCs w:val="24"/>
        </w:rPr>
        <w:t>(1): p. 77-81.</w:t>
      </w:r>
      <w:bookmarkEnd w:id="8"/>
    </w:p>
    <w:p w14:paraId="4A251F10" w14:textId="77777777" w:rsidR="00CB2334" w:rsidRPr="00CB2334" w:rsidRDefault="00CB2334" w:rsidP="00CB2334">
      <w:pPr>
        <w:spacing w:after="0" w:line="240" w:lineRule="auto"/>
        <w:ind w:left="720" w:hanging="720"/>
        <w:jc w:val="both"/>
        <w:rPr>
          <w:rFonts w:ascii="Calibri" w:hAnsi="Calibri" w:cs="Calibri"/>
          <w:noProof/>
          <w:szCs w:val="24"/>
        </w:rPr>
      </w:pPr>
      <w:bookmarkStart w:id="9" w:name="_ENREF_8"/>
      <w:r w:rsidRPr="00CB2334">
        <w:rPr>
          <w:rFonts w:ascii="Calibri" w:hAnsi="Calibri" w:cs="Calibri"/>
          <w:noProof/>
          <w:szCs w:val="24"/>
        </w:rPr>
        <w:t>8.</w:t>
      </w:r>
      <w:r w:rsidRPr="00CB2334">
        <w:rPr>
          <w:rFonts w:ascii="Calibri" w:hAnsi="Calibri" w:cs="Calibri"/>
          <w:noProof/>
          <w:szCs w:val="24"/>
        </w:rPr>
        <w:tab/>
        <w:t xml:space="preserve">Rodrigues- Marin, E., et al., </w:t>
      </w:r>
      <w:r w:rsidRPr="00CB2334">
        <w:rPr>
          <w:rFonts w:ascii="Calibri" w:hAnsi="Calibri" w:cs="Calibri"/>
          <w:i/>
          <w:noProof/>
          <w:szCs w:val="24"/>
        </w:rPr>
        <w:t>Standardization of bluefin tuna, Thunnus thynnus, catch per unit effort in the baitboat fishery of the Bay of Biscay (Eastern Atlantic).</w:t>
      </w:r>
      <w:r w:rsidRPr="00CB2334">
        <w:rPr>
          <w:rFonts w:ascii="Calibri" w:hAnsi="Calibri" w:cs="Calibri"/>
          <w:noProof/>
          <w:szCs w:val="24"/>
        </w:rPr>
        <w:t xml:space="preserve"> ICES Journal of Marine Science, 2003. </w:t>
      </w:r>
      <w:r w:rsidRPr="00CB2334">
        <w:rPr>
          <w:rFonts w:ascii="Calibri" w:hAnsi="Calibri" w:cs="Calibri"/>
          <w:b/>
          <w:noProof/>
          <w:szCs w:val="24"/>
        </w:rPr>
        <w:t>60</w:t>
      </w:r>
      <w:r w:rsidRPr="00CB2334">
        <w:rPr>
          <w:rFonts w:ascii="Calibri" w:hAnsi="Calibri" w:cs="Calibri"/>
          <w:noProof/>
          <w:szCs w:val="24"/>
        </w:rPr>
        <w:t>(12): p. 1216-1231.</w:t>
      </w:r>
      <w:bookmarkEnd w:id="9"/>
    </w:p>
    <w:p w14:paraId="0D259384" w14:textId="77777777" w:rsidR="00CB2334" w:rsidRPr="00CB2334" w:rsidRDefault="00CB2334" w:rsidP="00CB2334">
      <w:pPr>
        <w:spacing w:after="0" w:line="240" w:lineRule="auto"/>
        <w:ind w:left="720" w:hanging="720"/>
        <w:jc w:val="both"/>
        <w:rPr>
          <w:rFonts w:ascii="Calibri" w:hAnsi="Calibri" w:cs="Calibri"/>
          <w:noProof/>
          <w:szCs w:val="24"/>
        </w:rPr>
      </w:pPr>
      <w:bookmarkStart w:id="10" w:name="_ENREF_9"/>
      <w:r w:rsidRPr="00CB2334">
        <w:rPr>
          <w:rFonts w:ascii="Calibri" w:hAnsi="Calibri" w:cs="Calibri"/>
          <w:noProof/>
          <w:szCs w:val="24"/>
        </w:rPr>
        <w:t>9.</w:t>
      </w:r>
      <w:r w:rsidRPr="00CB2334">
        <w:rPr>
          <w:rFonts w:ascii="Calibri" w:hAnsi="Calibri" w:cs="Calibri"/>
          <w:noProof/>
          <w:szCs w:val="24"/>
        </w:rPr>
        <w:tab/>
        <w:t xml:space="preserve">Arregui, I., et al., </w:t>
      </w:r>
      <w:r w:rsidRPr="00CB2334">
        <w:rPr>
          <w:rFonts w:ascii="Calibri" w:hAnsi="Calibri" w:cs="Calibri"/>
          <w:i/>
          <w:noProof/>
          <w:szCs w:val="24"/>
        </w:rPr>
        <w:t>Movements and geographic distribution of juvenile bluefin tuna in the Northeast Atlantic, described through internal and satellite archival tags.</w:t>
      </w:r>
      <w:r w:rsidRPr="00CB2334">
        <w:rPr>
          <w:rFonts w:ascii="Calibri" w:hAnsi="Calibri" w:cs="Calibri"/>
          <w:noProof/>
          <w:szCs w:val="24"/>
        </w:rPr>
        <w:t xml:space="preserve"> ICES Journal of Marine Science, 2018. </w:t>
      </w:r>
      <w:r w:rsidRPr="00CB2334">
        <w:rPr>
          <w:rFonts w:ascii="Calibri" w:hAnsi="Calibri" w:cs="Calibri"/>
          <w:b/>
          <w:noProof/>
          <w:szCs w:val="24"/>
        </w:rPr>
        <w:t>75</w:t>
      </w:r>
      <w:r w:rsidRPr="00CB2334">
        <w:rPr>
          <w:rFonts w:ascii="Calibri" w:hAnsi="Calibri" w:cs="Calibri"/>
          <w:noProof/>
          <w:szCs w:val="24"/>
        </w:rPr>
        <w:t>(5): p. 1560-1572.</w:t>
      </w:r>
      <w:bookmarkEnd w:id="10"/>
    </w:p>
    <w:p w14:paraId="7598D53D" w14:textId="77777777" w:rsidR="00CB2334" w:rsidRPr="00CB2334" w:rsidRDefault="00CB2334" w:rsidP="00CB2334">
      <w:pPr>
        <w:spacing w:after="0" w:line="240" w:lineRule="auto"/>
        <w:ind w:left="720" w:hanging="720"/>
        <w:jc w:val="both"/>
        <w:rPr>
          <w:rFonts w:ascii="Calibri" w:hAnsi="Calibri" w:cs="Calibri"/>
          <w:noProof/>
          <w:szCs w:val="24"/>
        </w:rPr>
      </w:pPr>
      <w:bookmarkStart w:id="11" w:name="_ENREF_10"/>
      <w:r w:rsidRPr="00CB2334">
        <w:rPr>
          <w:rFonts w:ascii="Calibri" w:hAnsi="Calibri" w:cs="Calibri"/>
          <w:noProof/>
          <w:szCs w:val="24"/>
        </w:rPr>
        <w:t>10.</w:t>
      </w:r>
      <w:r w:rsidRPr="00CB2334">
        <w:rPr>
          <w:rFonts w:ascii="Calibri" w:hAnsi="Calibri" w:cs="Calibri"/>
          <w:noProof/>
          <w:szCs w:val="24"/>
        </w:rPr>
        <w:tab/>
        <w:t xml:space="preserve">Sund, P.N., M. Blackburn, and F. William, </w:t>
      </w:r>
      <w:r w:rsidRPr="00CB2334">
        <w:rPr>
          <w:rFonts w:ascii="Calibri" w:hAnsi="Calibri" w:cs="Calibri"/>
          <w:i/>
          <w:noProof/>
          <w:szCs w:val="24"/>
        </w:rPr>
        <w:t>Tunas and their environment in the Pacific ocean: a review.</w:t>
      </w:r>
      <w:r w:rsidRPr="00CB2334">
        <w:rPr>
          <w:rFonts w:ascii="Calibri" w:hAnsi="Calibri" w:cs="Calibri"/>
          <w:noProof/>
          <w:szCs w:val="24"/>
        </w:rPr>
        <w:t xml:space="preserve"> Oceanography Marine Biology Annual Review, 1981. </w:t>
      </w:r>
      <w:r w:rsidRPr="00CB2334">
        <w:rPr>
          <w:rFonts w:ascii="Calibri" w:hAnsi="Calibri" w:cs="Calibri"/>
          <w:b/>
          <w:noProof/>
          <w:szCs w:val="24"/>
        </w:rPr>
        <w:t>19</w:t>
      </w:r>
      <w:r w:rsidRPr="00CB2334">
        <w:rPr>
          <w:rFonts w:ascii="Calibri" w:hAnsi="Calibri" w:cs="Calibri"/>
          <w:noProof/>
          <w:szCs w:val="24"/>
        </w:rPr>
        <w:t>: p. 443-512.</w:t>
      </w:r>
      <w:bookmarkEnd w:id="11"/>
    </w:p>
    <w:p w14:paraId="03397E66" w14:textId="77777777" w:rsidR="00CB2334" w:rsidRPr="00CB2334" w:rsidRDefault="00CB2334" w:rsidP="00CB2334">
      <w:pPr>
        <w:spacing w:after="0" w:line="240" w:lineRule="auto"/>
        <w:ind w:left="720" w:hanging="720"/>
        <w:jc w:val="both"/>
        <w:rPr>
          <w:rFonts w:ascii="Calibri" w:hAnsi="Calibri" w:cs="Calibri"/>
          <w:noProof/>
          <w:szCs w:val="24"/>
        </w:rPr>
      </w:pPr>
      <w:bookmarkStart w:id="12" w:name="_ENREF_11"/>
      <w:r w:rsidRPr="00CB2334">
        <w:rPr>
          <w:rFonts w:ascii="Calibri" w:hAnsi="Calibri" w:cs="Calibri"/>
          <w:noProof/>
          <w:szCs w:val="24"/>
        </w:rPr>
        <w:t>11.</w:t>
      </w:r>
      <w:r w:rsidRPr="00CB2334">
        <w:rPr>
          <w:rFonts w:ascii="Calibri" w:hAnsi="Calibri" w:cs="Calibri"/>
          <w:noProof/>
          <w:szCs w:val="24"/>
        </w:rPr>
        <w:tab/>
        <w:t xml:space="preserve">Bernal, D., et al., </w:t>
      </w:r>
      <w:r w:rsidRPr="00CB2334">
        <w:rPr>
          <w:rFonts w:ascii="Calibri" w:hAnsi="Calibri" w:cs="Calibri"/>
          <w:i/>
          <w:noProof/>
          <w:szCs w:val="24"/>
        </w:rPr>
        <w:t>The eco-physiology of swimming and movement patterns of tunas, billfishes, and large pelagic sharks.</w:t>
      </w:r>
      <w:r w:rsidRPr="00CB2334">
        <w:rPr>
          <w:rFonts w:ascii="Calibri" w:hAnsi="Calibri" w:cs="Calibri"/>
          <w:noProof/>
          <w:szCs w:val="24"/>
        </w:rPr>
        <w:t xml:space="preserve"> Fish Locomotion-an Etho-ecological Perspective, 2009: p. 436-483.</w:t>
      </w:r>
      <w:bookmarkEnd w:id="12"/>
    </w:p>
    <w:p w14:paraId="4FB2BEA2" w14:textId="77777777" w:rsidR="00CB2334" w:rsidRPr="00CB2334" w:rsidRDefault="00CB2334" w:rsidP="00CB2334">
      <w:pPr>
        <w:spacing w:after="0" w:line="240" w:lineRule="auto"/>
        <w:ind w:left="720" w:hanging="720"/>
        <w:jc w:val="both"/>
        <w:rPr>
          <w:rFonts w:ascii="Calibri" w:hAnsi="Calibri" w:cs="Calibri"/>
          <w:noProof/>
          <w:szCs w:val="24"/>
        </w:rPr>
      </w:pPr>
      <w:bookmarkStart w:id="13" w:name="_ENREF_12"/>
      <w:r w:rsidRPr="00CB2334">
        <w:rPr>
          <w:rFonts w:ascii="Calibri" w:hAnsi="Calibri" w:cs="Calibri"/>
          <w:noProof/>
          <w:szCs w:val="24"/>
        </w:rPr>
        <w:t>12.</w:t>
      </w:r>
      <w:r w:rsidRPr="00CB2334">
        <w:rPr>
          <w:rFonts w:ascii="Calibri" w:hAnsi="Calibri" w:cs="Calibri"/>
          <w:noProof/>
          <w:szCs w:val="24"/>
        </w:rPr>
        <w:tab/>
        <w:t xml:space="preserve">Maury, O., et al., </w:t>
      </w:r>
      <w:r w:rsidRPr="00CB2334">
        <w:rPr>
          <w:rFonts w:ascii="Calibri" w:hAnsi="Calibri" w:cs="Calibri"/>
          <w:i/>
          <w:noProof/>
          <w:szCs w:val="24"/>
        </w:rPr>
        <w:t>Hierarchical interpretation of nonlinear relationships linking yellowfin tuna (Thunnus albacares) distribution to the environment in the Atlantic Ocean.</w:t>
      </w:r>
      <w:r w:rsidRPr="00CB2334">
        <w:rPr>
          <w:rFonts w:ascii="Calibri" w:hAnsi="Calibri" w:cs="Calibri"/>
          <w:noProof/>
          <w:szCs w:val="24"/>
        </w:rPr>
        <w:t xml:space="preserve"> Canadian Journal of Fisheries and Aquatic Sciences, 2001. </w:t>
      </w:r>
      <w:r w:rsidRPr="00CB2334">
        <w:rPr>
          <w:rFonts w:ascii="Calibri" w:hAnsi="Calibri" w:cs="Calibri"/>
          <w:b/>
          <w:noProof/>
          <w:szCs w:val="24"/>
        </w:rPr>
        <w:t>58</w:t>
      </w:r>
      <w:r w:rsidRPr="00CB2334">
        <w:rPr>
          <w:rFonts w:ascii="Calibri" w:hAnsi="Calibri" w:cs="Calibri"/>
          <w:noProof/>
          <w:szCs w:val="24"/>
        </w:rPr>
        <w:t>(3): p. 458-469.</w:t>
      </w:r>
      <w:bookmarkEnd w:id="13"/>
    </w:p>
    <w:p w14:paraId="174833CF" w14:textId="77777777" w:rsidR="00CB2334" w:rsidRPr="00CB2334" w:rsidRDefault="00CB2334" w:rsidP="00CB2334">
      <w:pPr>
        <w:spacing w:after="0" w:line="240" w:lineRule="auto"/>
        <w:ind w:left="720" w:hanging="720"/>
        <w:jc w:val="both"/>
        <w:rPr>
          <w:rFonts w:ascii="Calibri" w:hAnsi="Calibri" w:cs="Calibri"/>
          <w:noProof/>
          <w:szCs w:val="24"/>
        </w:rPr>
      </w:pPr>
      <w:bookmarkStart w:id="14" w:name="_ENREF_13"/>
      <w:r w:rsidRPr="00CB2334">
        <w:rPr>
          <w:rFonts w:ascii="Calibri" w:hAnsi="Calibri" w:cs="Calibri"/>
          <w:noProof/>
          <w:szCs w:val="24"/>
        </w:rPr>
        <w:t>13.</w:t>
      </w:r>
      <w:r w:rsidRPr="00CB2334">
        <w:rPr>
          <w:rFonts w:ascii="Calibri" w:hAnsi="Calibri" w:cs="Calibri"/>
          <w:noProof/>
          <w:szCs w:val="24"/>
        </w:rPr>
        <w:tab/>
        <w:t xml:space="preserve">Kerr, L.A., et al., </w:t>
      </w:r>
      <w:r w:rsidRPr="00CB2334">
        <w:rPr>
          <w:rFonts w:ascii="Calibri" w:hAnsi="Calibri" w:cs="Calibri"/>
          <w:i/>
          <w:noProof/>
          <w:szCs w:val="24"/>
        </w:rPr>
        <w:t>Mixed stock origin of Atlantic bluefin tuna in the U.S. rod and reel fishery (Gulf of Maine) and implications for fisheries management.</w:t>
      </w:r>
      <w:r w:rsidRPr="00CB2334">
        <w:rPr>
          <w:rFonts w:ascii="Calibri" w:hAnsi="Calibri" w:cs="Calibri"/>
          <w:noProof/>
          <w:szCs w:val="24"/>
        </w:rPr>
        <w:t xml:space="preserve"> Fisheries Research, 2020. </w:t>
      </w:r>
      <w:r w:rsidRPr="00CB2334">
        <w:rPr>
          <w:rFonts w:ascii="Calibri" w:hAnsi="Calibri" w:cs="Calibri"/>
          <w:b/>
          <w:noProof/>
          <w:szCs w:val="24"/>
        </w:rPr>
        <w:t>224</w:t>
      </w:r>
      <w:r w:rsidRPr="00CB2334">
        <w:rPr>
          <w:rFonts w:ascii="Calibri" w:hAnsi="Calibri" w:cs="Calibri"/>
          <w:noProof/>
          <w:szCs w:val="24"/>
        </w:rPr>
        <w:t>.</w:t>
      </w:r>
      <w:bookmarkEnd w:id="14"/>
    </w:p>
    <w:p w14:paraId="47F84658" w14:textId="77777777" w:rsidR="00CB2334" w:rsidRPr="00CB2334" w:rsidRDefault="00CB2334" w:rsidP="00CB2334">
      <w:pPr>
        <w:spacing w:after="0" w:line="240" w:lineRule="auto"/>
        <w:ind w:left="720" w:hanging="720"/>
        <w:jc w:val="both"/>
        <w:rPr>
          <w:rFonts w:ascii="Calibri" w:hAnsi="Calibri" w:cs="Calibri"/>
          <w:noProof/>
          <w:szCs w:val="24"/>
        </w:rPr>
      </w:pPr>
      <w:bookmarkStart w:id="15" w:name="_ENREF_14"/>
      <w:r w:rsidRPr="00CB2334">
        <w:rPr>
          <w:rFonts w:ascii="Calibri" w:hAnsi="Calibri" w:cs="Calibri"/>
          <w:noProof/>
          <w:szCs w:val="24"/>
        </w:rPr>
        <w:t>14.</w:t>
      </w:r>
      <w:r w:rsidRPr="00CB2334">
        <w:rPr>
          <w:rFonts w:ascii="Calibri" w:hAnsi="Calibri" w:cs="Calibri"/>
          <w:noProof/>
          <w:szCs w:val="24"/>
        </w:rPr>
        <w:tab/>
        <w:t xml:space="preserve">Heffernan, J.P., </w:t>
      </w:r>
      <w:r w:rsidRPr="00CB2334">
        <w:rPr>
          <w:rFonts w:ascii="Calibri" w:hAnsi="Calibri" w:cs="Calibri"/>
          <w:i/>
          <w:noProof/>
          <w:szCs w:val="24"/>
        </w:rPr>
        <w:t>Dealing with Mediterranean bluefin tuna: A study in international environmental management.</w:t>
      </w:r>
      <w:r w:rsidRPr="00CB2334">
        <w:rPr>
          <w:rFonts w:ascii="Calibri" w:hAnsi="Calibri" w:cs="Calibri"/>
          <w:noProof/>
          <w:szCs w:val="24"/>
        </w:rPr>
        <w:t xml:space="preserve"> Marine Policy, 2014. </w:t>
      </w:r>
      <w:r w:rsidRPr="00CB2334">
        <w:rPr>
          <w:rFonts w:ascii="Calibri" w:hAnsi="Calibri" w:cs="Calibri"/>
          <w:b/>
          <w:noProof/>
          <w:szCs w:val="24"/>
        </w:rPr>
        <w:t>50</w:t>
      </w:r>
      <w:r w:rsidRPr="00CB2334">
        <w:rPr>
          <w:rFonts w:ascii="Calibri" w:hAnsi="Calibri" w:cs="Calibri"/>
          <w:noProof/>
          <w:szCs w:val="24"/>
        </w:rPr>
        <w:t>: p. 81-88.</w:t>
      </w:r>
      <w:bookmarkEnd w:id="15"/>
    </w:p>
    <w:p w14:paraId="1AAF7603" w14:textId="77777777" w:rsidR="00CB2334" w:rsidRPr="00CB2334" w:rsidRDefault="00CB2334" w:rsidP="00CB2334">
      <w:pPr>
        <w:spacing w:after="0" w:line="240" w:lineRule="auto"/>
        <w:ind w:left="720" w:hanging="720"/>
        <w:jc w:val="both"/>
        <w:rPr>
          <w:rFonts w:ascii="Calibri" w:hAnsi="Calibri" w:cs="Calibri"/>
          <w:noProof/>
          <w:szCs w:val="24"/>
        </w:rPr>
      </w:pPr>
      <w:bookmarkStart w:id="16" w:name="_ENREF_15"/>
      <w:r w:rsidRPr="00CB2334">
        <w:rPr>
          <w:rFonts w:ascii="Calibri" w:hAnsi="Calibri" w:cs="Calibri"/>
          <w:noProof/>
          <w:szCs w:val="24"/>
        </w:rPr>
        <w:t>15.</w:t>
      </w:r>
      <w:r w:rsidRPr="00CB2334">
        <w:rPr>
          <w:rFonts w:ascii="Calibri" w:hAnsi="Calibri" w:cs="Calibri"/>
          <w:noProof/>
          <w:szCs w:val="24"/>
        </w:rPr>
        <w:tab/>
        <w:t xml:space="preserve">ICCAT, </w:t>
      </w:r>
      <w:r w:rsidRPr="00CB2334">
        <w:rPr>
          <w:rFonts w:ascii="Calibri" w:hAnsi="Calibri" w:cs="Calibri"/>
          <w:i/>
          <w:noProof/>
          <w:szCs w:val="24"/>
        </w:rPr>
        <w:t>Report of the 2006 Atlantic Blue fin Tuna Stock Assessment Session.</w:t>
      </w:r>
      <w:r w:rsidRPr="00CB2334">
        <w:rPr>
          <w:rFonts w:ascii="Calibri" w:hAnsi="Calibri" w:cs="Calibri"/>
          <w:noProof/>
          <w:szCs w:val="24"/>
        </w:rPr>
        <w:t xml:space="preserve"> Collective Volume of Scientific Papers, 2007: p. .</w:t>
      </w:r>
      <w:bookmarkEnd w:id="16"/>
    </w:p>
    <w:p w14:paraId="584F14F9" w14:textId="77777777" w:rsidR="00CB2334" w:rsidRPr="00CB2334" w:rsidRDefault="00CB2334" w:rsidP="00CB2334">
      <w:pPr>
        <w:spacing w:line="240" w:lineRule="auto"/>
        <w:ind w:left="720" w:hanging="720"/>
        <w:jc w:val="both"/>
        <w:rPr>
          <w:rFonts w:ascii="Calibri" w:hAnsi="Calibri" w:cs="Calibri"/>
          <w:i/>
          <w:noProof/>
          <w:szCs w:val="24"/>
        </w:rPr>
      </w:pPr>
      <w:bookmarkStart w:id="17" w:name="_ENREF_16"/>
      <w:r w:rsidRPr="00CB2334">
        <w:rPr>
          <w:rFonts w:ascii="Calibri" w:hAnsi="Calibri" w:cs="Calibri"/>
          <w:noProof/>
          <w:szCs w:val="24"/>
        </w:rPr>
        <w:t>16.</w:t>
      </w:r>
      <w:r w:rsidRPr="00CB2334">
        <w:rPr>
          <w:rFonts w:ascii="Calibri" w:hAnsi="Calibri" w:cs="Calibri"/>
          <w:noProof/>
          <w:szCs w:val="24"/>
        </w:rPr>
        <w:tab/>
      </w:r>
      <w:r w:rsidRPr="00CB2334">
        <w:rPr>
          <w:rFonts w:ascii="Calibri" w:hAnsi="Calibri" w:cs="Calibri"/>
          <w:i/>
          <w:noProof/>
          <w:szCs w:val="24"/>
        </w:rPr>
        <w:t>Mairne developments</w:t>
      </w:r>
    </w:p>
    <w:p w14:paraId="6CE48406" w14:textId="77777777" w:rsidR="00CB2334" w:rsidRPr="00CB2334" w:rsidRDefault="00CB2334" w:rsidP="00CB2334">
      <w:pPr>
        <w:spacing w:after="0" w:line="240" w:lineRule="auto"/>
        <w:ind w:left="720" w:hanging="720"/>
        <w:jc w:val="both"/>
        <w:rPr>
          <w:rFonts w:ascii="Calibri" w:hAnsi="Calibri" w:cs="Calibri"/>
          <w:noProof/>
          <w:szCs w:val="24"/>
        </w:rPr>
      </w:pPr>
      <w:r w:rsidRPr="00CB2334">
        <w:rPr>
          <w:rFonts w:ascii="Calibri" w:hAnsi="Calibri" w:cs="Calibri"/>
          <w:noProof/>
          <w:szCs w:val="24"/>
        </w:rPr>
        <w:t>2019; Available from: https://marinedevelopments.blog.gov.uk/2019/01/11/what-is-the-landing-obligation-discards-ban/.</w:t>
      </w:r>
      <w:bookmarkEnd w:id="17"/>
    </w:p>
    <w:p w14:paraId="15A9C5C8" w14:textId="77777777" w:rsidR="00CB2334" w:rsidRPr="00CB2334" w:rsidRDefault="00CB2334" w:rsidP="00CB2334">
      <w:pPr>
        <w:spacing w:after="0" w:line="240" w:lineRule="auto"/>
        <w:ind w:left="720" w:hanging="720"/>
        <w:jc w:val="both"/>
        <w:rPr>
          <w:rFonts w:ascii="Calibri" w:hAnsi="Calibri" w:cs="Calibri"/>
          <w:noProof/>
          <w:szCs w:val="24"/>
        </w:rPr>
      </w:pPr>
      <w:bookmarkStart w:id="18" w:name="_ENREF_17"/>
      <w:r w:rsidRPr="00CB2334">
        <w:rPr>
          <w:rFonts w:ascii="Calibri" w:hAnsi="Calibri" w:cs="Calibri"/>
          <w:noProof/>
          <w:szCs w:val="24"/>
        </w:rPr>
        <w:t>17.</w:t>
      </w:r>
      <w:r w:rsidRPr="00CB2334">
        <w:rPr>
          <w:rFonts w:ascii="Calibri" w:hAnsi="Calibri" w:cs="Calibri"/>
          <w:noProof/>
          <w:szCs w:val="24"/>
        </w:rPr>
        <w:tab/>
        <w:t xml:space="preserve">ICCAT, </w:t>
      </w:r>
      <w:r w:rsidRPr="00CB2334">
        <w:rPr>
          <w:rFonts w:ascii="Calibri" w:hAnsi="Calibri" w:cs="Calibri"/>
          <w:i/>
          <w:noProof/>
          <w:szCs w:val="24"/>
        </w:rPr>
        <w:t>Statistical database.</w:t>
      </w:r>
      <w:r w:rsidRPr="00CB2334">
        <w:rPr>
          <w:rFonts w:ascii="Calibri" w:hAnsi="Calibri" w:cs="Calibri"/>
          <w:noProof/>
          <w:szCs w:val="24"/>
        </w:rPr>
        <w:t xml:space="preserve"> https://</w:t>
      </w:r>
      <w:hyperlink r:id="rId24" w:history="1">
        <w:r w:rsidRPr="00CB2334">
          <w:rPr>
            <w:rStyle w:val="Hyperlink"/>
            <w:rFonts w:ascii="Calibri" w:hAnsi="Calibri" w:cs="Calibri"/>
            <w:noProof/>
            <w:szCs w:val="24"/>
          </w:rPr>
          <w:t>www.iccat.int/en/accesingdb.html</w:t>
        </w:r>
      </w:hyperlink>
      <w:r w:rsidRPr="00CB2334">
        <w:rPr>
          <w:rFonts w:ascii="Calibri" w:hAnsi="Calibri" w:cs="Calibri"/>
          <w:noProof/>
          <w:szCs w:val="24"/>
        </w:rPr>
        <w:t>, 2017.</w:t>
      </w:r>
      <w:bookmarkEnd w:id="18"/>
    </w:p>
    <w:p w14:paraId="2D1536D7" w14:textId="77777777" w:rsidR="00CB2334" w:rsidRPr="00CB2334" w:rsidRDefault="00CB2334" w:rsidP="00CB2334">
      <w:pPr>
        <w:spacing w:after="0" w:line="240" w:lineRule="auto"/>
        <w:ind w:left="720" w:hanging="720"/>
        <w:jc w:val="both"/>
        <w:rPr>
          <w:rFonts w:ascii="Calibri" w:hAnsi="Calibri" w:cs="Calibri"/>
          <w:noProof/>
          <w:szCs w:val="24"/>
        </w:rPr>
      </w:pPr>
      <w:bookmarkStart w:id="19" w:name="_ENREF_18"/>
      <w:r w:rsidRPr="00CB2334">
        <w:rPr>
          <w:rFonts w:ascii="Calibri" w:hAnsi="Calibri" w:cs="Calibri"/>
          <w:noProof/>
          <w:szCs w:val="24"/>
        </w:rPr>
        <w:t>18.</w:t>
      </w:r>
      <w:r w:rsidRPr="00CB2334">
        <w:rPr>
          <w:rFonts w:ascii="Calibri" w:hAnsi="Calibri" w:cs="Calibri"/>
          <w:noProof/>
          <w:szCs w:val="24"/>
        </w:rPr>
        <w:tab/>
        <w:t xml:space="preserve">Darasi, F. and M. Aksissou, </w:t>
      </w:r>
      <w:r w:rsidRPr="00CB2334">
        <w:rPr>
          <w:rFonts w:ascii="Calibri" w:hAnsi="Calibri" w:cs="Calibri"/>
          <w:i/>
          <w:noProof/>
          <w:szCs w:val="24"/>
        </w:rPr>
        <w:t>Longline, trawl, and purse seine in coastal fishing of Tangier port in North-West of Morocco.</w:t>
      </w:r>
      <w:r w:rsidRPr="00CB2334">
        <w:rPr>
          <w:rFonts w:ascii="Calibri" w:hAnsi="Calibri" w:cs="Calibri"/>
          <w:noProof/>
          <w:szCs w:val="24"/>
        </w:rPr>
        <w:t xml:space="preserve"> The Egyptian Journal of Aquatic Research, 2019. </w:t>
      </w:r>
      <w:r w:rsidRPr="00CB2334">
        <w:rPr>
          <w:rFonts w:ascii="Calibri" w:hAnsi="Calibri" w:cs="Calibri"/>
          <w:b/>
          <w:noProof/>
          <w:szCs w:val="24"/>
        </w:rPr>
        <w:t>45</w:t>
      </w:r>
      <w:r w:rsidRPr="00CB2334">
        <w:rPr>
          <w:rFonts w:ascii="Calibri" w:hAnsi="Calibri" w:cs="Calibri"/>
          <w:noProof/>
          <w:szCs w:val="24"/>
        </w:rPr>
        <w:t>(4): p. 381-388.</w:t>
      </w:r>
      <w:bookmarkEnd w:id="19"/>
    </w:p>
    <w:p w14:paraId="21E59DE4" w14:textId="77777777" w:rsidR="00CB2334" w:rsidRPr="00CB2334" w:rsidRDefault="00CB2334" w:rsidP="00CB2334">
      <w:pPr>
        <w:spacing w:after="0" w:line="240" w:lineRule="auto"/>
        <w:ind w:left="720" w:hanging="720"/>
        <w:jc w:val="both"/>
        <w:rPr>
          <w:rFonts w:ascii="Calibri" w:hAnsi="Calibri" w:cs="Calibri"/>
          <w:noProof/>
          <w:szCs w:val="24"/>
        </w:rPr>
      </w:pPr>
      <w:bookmarkStart w:id="20" w:name="_ENREF_19"/>
      <w:r w:rsidRPr="00CB2334">
        <w:rPr>
          <w:rFonts w:ascii="Calibri" w:hAnsi="Calibri" w:cs="Calibri"/>
          <w:noProof/>
          <w:szCs w:val="24"/>
        </w:rPr>
        <w:t>19.</w:t>
      </w:r>
      <w:r w:rsidRPr="00CB2334">
        <w:rPr>
          <w:rFonts w:ascii="Calibri" w:hAnsi="Calibri" w:cs="Calibri"/>
          <w:noProof/>
          <w:szCs w:val="24"/>
        </w:rPr>
        <w:tab/>
        <w:t xml:space="preserve">Rouyer, T., et al., </w:t>
      </w:r>
      <w:r w:rsidRPr="00CB2334">
        <w:rPr>
          <w:rFonts w:ascii="Calibri" w:hAnsi="Calibri" w:cs="Calibri"/>
          <w:i/>
          <w:noProof/>
          <w:szCs w:val="24"/>
        </w:rPr>
        <w:t>Tagging Atlantic bluefin tuna from a Mediterranean spawning ground using a purse seiner.</w:t>
      </w:r>
      <w:r w:rsidRPr="00CB2334">
        <w:rPr>
          <w:rFonts w:ascii="Calibri" w:hAnsi="Calibri" w:cs="Calibri"/>
          <w:noProof/>
          <w:szCs w:val="24"/>
        </w:rPr>
        <w:t xml:space="preserve"> Fisheries Research, 2020. </w:t>
      </w:r>
      <w:r w:rsidRPr="00CB2334">
        <w:rPr>
          <w:rFonts w:ascii="Calibri" w:hAnsi="Calibri" w:cs="Calibri"/>
          <w:b/>
          <w:noProof/>
          <w:szCs w:val="24"/>
        </w:rPr>
        <w:t>226</w:t>
      </w:r>
      <w:r w:rsidRPr="00CB2334">
        <w:rPr>
          <w:rFonts w:ascii="Calibri" w:hAnsi="Calibri" w:cs="Calibri"/>
          <w:noProof/>
          <w:szCs w:val="24"/>
        </w:rPr>
        <w:t>.</w:t>
      </w:r>
      <w:bookmarkEnd w:id="20"/>
    </w:p>
    <w:p w14:paraId="00E6E7C2" w14:textId="77777777" w:rsidR="00CB2334" w:rsidRPr="00CB2334" w:rsidRDefault="00CB2334" w:rsidP="00CB2334">
      <w:pPr>
        <w:spacing w:after="0" w:line="240" w:lineRule="auto"/>
        <w:ind w:left="720" w:hanging="720"/>
        <w:jc w:val="both"/>
        <w:rPr>
          <w:rFonts w:ascii="Calibri" w:hAnsi="Calibri" w:cs="Calibri"/>
          <w:noProof/>
          <w:szCs w:val="24"/>
        </w:rPr>
      </w:pPr>
      <w:bookmarkStart w:id="21" w:name="_ENREF_20"/>
      <w:r w:rsidRPr="00CB2334">
        <w:rPr>
          <w:rFonts w:ascii="Calibri" w:hAnsi="Calibri" w:cs="Calibri"/>
          <w:noProof/>
          <w:szCs w:val="24"/>
        </w:rPr>
        <w:t>20.</w:t>
      </w:r>
      <w:r w:rsidRPr="00CB2334">
        <w:rPr>
          <w:rFonts w:ascii="Calibri" w:hAnsi="Calibri" w:cs="Calibri"/>
          <w:noProof/>
          <w:szCs w:val="24"/>
        </w:rPr>
        <w:tab/>
        <w:t xml:space="preserve">Gagern, A., J. Van den Bergh, and U.R. Sumaila, </w:t>
      </w:r>
      <w:r w:rsidRPr="00CB2334">
        <w:rPr>
          <w:rFonts w:ascii="Calibri" w:hAnsi="Calibri" w:cs="Calibri"/>
          <w:i/>
          <w:noProof/>
          <w:szCs w:val="24"/>
        </w:rPr>
        <w:t>Trade-Based Estimation of Bluefin Tuna Catches in the Eastern Atlantic and Mediterranean.</w:t>
      </w:r>
      <w:r w:rsidRPr="00CB2334">
        <w:rPr>
          <w:rFonts w:ascii="Calibri" w:hAnsi="Calibri" w:cs="Calibri"/>
          <w:noProof/>
          <w:szCs w:val="24"/>
        </w:rPr>
        <w:t xml:space="preserve"> PLoS ONE, 2013. </w:t>
      </w:r>
      <w:r w:rsidRPr="00CB2334">
        <w:rPr>
          <w:rFonts w:ascii="Calibri" w:hAnsi="Calibri" w:cs="Calibri"/>
          <w:b/>
          <w:noProof/>
          <w:szCs w:val="24"/>
        </w:rPr>
        <w:t>8</w:t>
      </w:r>
      <w:r w:rsidRPr="00CB2334">
        <w:rPr>
          <w:rFonts w:ascii="Calibri" w:hAnsi="Calibri" w:cs="Calibri"/>
          <w:noProof/>
          <w:szCs w:val="24"/>
        </w:rPr>
        <w:t>(7).</w:t>
      </w:r>
      <w:bookmarkEnd w:id="21"/>
    </w:p>
    <w:p w14:paraId="3555AC3C" w14:textId="77777777" w:rsidR="00CB2334" w:rsidRPr="00CB2334" w:rsidRDefault="00CB2334" w:rsidP="00CB2334">
      <w:pPr>
        <w:spacing w:after="0" w:line="240" w:lineRule="auto"/>
        <w:ind w:left="720" w:hanging="720"/>
        <w:jc w:val="both"/>
        <w:rPr>
          <w:rFonts w:ascii="Calibri" w:hAnsi="Calibri" w:cs="Calibri"/>
          <w:noProof/>
          <w:szCs w:val="24"/>
        </w:rPr>
      </w:pPr>
      <w:bookmarkStart w:id="22" w:name="_ENREF_21"/>
      <w:r w:rsidRPr="00CB2334">
        <w:rPr>
          <w:rFonts w:ascii="Calibri" w:hAnsi="Calibri" w:cs="Calibri"/>
          <w:noProof/>
          <w:szCs w:val="24"/>
        </w:rPr>
        <w:lastRenderedPageBreak/>
        <w:t>21.</w:t>
      </w:r>
      <w:r w:rsidRPr="00CB2334">
        <w:rPr>
          <w:rFonts w:ascii="Calibri" w:hAnsi="Calibri" w:cs="Calibri"/>
          <w:noProof/>
          <w:szCs w:val="24"/>
        </w:rPr>
        <w:tab/>
        <w:t xml:space="preserve">Addis, P., et al., </w:t>
      </w:r>
      <w:r w:rsidRPr="00CB2334">
        <w:rPr>
          <w:rFonts w:ascii="Calibri" w:hAnsi="Calibri" w:cs="Calibri"/>
          <w:i/>
          <w:noProof/>
          <w:szCs w:val="24"/>
        </w:rPr>
        <w:t>Effects of local scale perturbations in the Atlantic bluefin tuna (Thunnus thynnus L.) trap fishery of Sardinia (W. Mediterranean).</w:t>
      </w:r>
      <w:r w:rsidRPr="00CB2334">
        <w:rPr>
          <w:rFonts w:ascii="Calibri" w:hAnsi="Calibri" w:cs="Calibri"/>
          <w:noProof/>
          <w:szCs w:val="24"/>
        </w:rPr>
        <w:t xml:space="preserve"> Fisheries Research, 2008. </w:t>
      </w:r>
      <w:r w:rsidRPr="00CB2334">
        <w:rPr>
          <w:rFonts w:ascii="Calibri" w:hAnsi="Calibri" w:cs="Calibri"/>
          <w:b/>
          <w:noProof/>
          <w:szCs w:val="24"/>
        </w:rPr>
        <w:t>92</w:t>
      </w:r>
      <w:r w:rsidRPr="00CB2334">
        <w:rPr>
          <w:rFonts w:ascii="Calibri" w:hAnsi="Calibri" w:cs="Calibri"/>
          <w:noProof/>
          <w:szCs w:val="24"/>
        </w:rPr>
        <w:t>(2-3): p. 242-254.</w:t>
      </w:r>
      <w:bookmarkEnd w:id="22"/>
    </w:p>
    <w:p w14:paraId="32BD3A76" w14:textId="77777777" w:rsidR="00CB2334" w:rsidRPr="00CB2334" w:rsidRDefault="00CB2334" w:rsidP="00CB2334">
      <w:pPr>
        <w:spacing w:after="0" w:line="240" w:lineRule="auto"/>
        <w:ind w:left="720" w:hanging="720"/>
        <w:jc w:val="both"/>
        <w:rPr>
          <w:rFonts w:ascii="Calibri" w:hAnsi="Calibri" w:cs="Calibri"/>
          <w:noProof/>
          <w:szCs w:val="24"/>
        </w:rPr>
      </w:pPr>
      <w:bookmarkStart w:id="23" w:name="_ENREF_22"/>
      <w:r w:rsidRPr="00CB2334">
        <w:rPr>
          <w:rFonts w:ascii="Calibri" w:hAnsi="Calibri" w:cs="Calibri"/>
          <w:noProof/>
          <w:szCs w:val="24"/>
        </w:rPr>
        <w:t>22.</w:t>
      </w:r>
      <w:r w:rsidRPr="00CB2334">
        <w:rPr>
          <w:rFonts w:ascii="Calibri" w:hAnsi="Calibri" w:cs="Calibri"/>
          <w:noProof/>
          <w:szCs w:val="24"/>
        </w:rPr>
        <w:tab/>
        <w:t xml:space="preserve">Safina, C. and D.H. Klinger, </w:t>
      </w:r>
      <w:r w:rsidRPr="00CB2334">
        <w:rPr>
          <w:rFonts w:ascii="Calibri" w:hAnsi="Calibri" w:cs="Calibri"/>
          <w:i/>
          <w:noProof/>
          <w:szCs w:val="24"/>
        </w:rPr>
        <w:t>Collapse of Bluefin Tuna in the Western Atlantic.</w:t>
      </w:r>
      <w:r w:rsidRPr="00CB2334">
        <w:rPr>
          <w:rFonts w:ascii="Calibri" w:hAnsi="Calibri" w:cs="Calibri"/>
          <w:noProof/>
          <w:szCs w:val="24"/>
        </w:rPr>
        <w:t xml:space="preserve"> Conservation Biology, 2008. </w:t>
      </w:r>
      <w:r w:rsidRPr="00CB2334">
        <w:rPr>
          <w:rFonts w:ascii="Calibri" w:hAnsi="Calibri" w:cs="Calibri"/>
          <w:b/>
          <w:noProof/>
          <w:szCs w:val="24"/>
        </w:rPr>
        <w:t>22</w:t>
      </w:r>
      <w:r w:rsidRPr="00CB2334">
        <w:rPr>
          <w:rFonts w:ascii="Calibri" w:hAnsi="Calibri" w:cs="Calibri"/>
          <w:noProof/>
          <w:szCs w:val="24"/>
        </w:rPr>
        <w:t>(2): p. 243-246.</w:t>
      </w:r>
      <w:bookmarkEnd w:id="23"/>
    </w:p>
    <w:p w14:paraId="20789CD8" w14:textId="77777777" w:rsidR="00CB2334" w:rsidRPr="00CB2334" w:rsidRDefault="00CB2334" w:rsidP="00CB2334">
      <w:pPr>
        <w:spacing w:after="0" w:line="240" w:lineRule="auto"/>
        <w:ind w:left="720" w:hanging="720"/>
        <w:jc w:val="both"/>
        <w:rPr>
          <w:rFonts w:ascii="Calibri" w:hAnsi="Calibri" w:cs="Calibri"/>
          <w:noProof/>
          <w:szCs w:val="24"/>
        </w:rPr>
      </w:pPr>
      <w:bookmarkStart w:id="24" w:name="_ENREF_23"/>
      <w:r w:rsidRPr="00CB2334">
        <w:rPr>
          <w:rFonts w:ascii="Calibri" w:hAnsi="Calibri" w:cs="Calibri"/>
          <w:noProof/>
          <w:szCs w:val="24"/>
        </w:rPr>
        <w:t>23.</w:t>
      </w:r>
      <w:r w:rsidRPr="00CB2334">
        <w:rPr>
          <w:rFonts w:ascii="Calibri" w:hAnsi="Calibri" w:cs="Calibri"/>
          <w:noProof/>
          <w:szCs w:val="24"/>
        </w:rPr>
        <w:tab/>
        <w:t xml:space="preserve">Bjorndal, T. and A. Brasao, </w:t>
      </w:r>
      <w:r w:rsidRPr="00CB2334">
        <w:rPr>
          <w:rFonts w:ascii="Calibri" w:hAnsi="Calibri" w:cs="Calibri"/>
          <w:i/>
          <w:noProof/>
          <w:szCs w:val="24"/>
        </w:rPr>
        <w:t>The East Atlantic Bluefin Tuna Fisheries: Stock Collapse or recovery.</w:t>
      </w:r>
      <w:r w:rsidRPr="00CB2334">
        <w:rPr>
          <w:rFonts w:ascii="Calibri" w:hAnsi="Calibri" w:cs="Calibri"/>
          <w:noProof/>
          <w:szCs w:val="24"/>
        </w:rPr>
        <w:t xml:space="preserve"> Marine Resource Economics, 2006. </w:t>
      </w:r>
      <w:r w:rsidRPr="00CB2334">
        <w:rPr>
          <w:rFonts w:ascii="Calibri" w:hAnsi="Calibri" w:cs="Calibri"/>
          <w:b/>
          <w:noProof/>
          <w:szCs w:val="24"/>
        </w:rPr>
        <w:t>21</w:t>
      </w:r>
      <w:r w:rsidRPr="00CB2334">
        <w:rPr>
          <w:rFonts w:ascii="Calibri" w:hAnsi="Calibri" w:cs="Calibri"/>
          <w:noProof/>
          <w:szCs w:val="24"/>
        </w:rPr>
        <w:t>: p. 193-210.</w:t>
      </w:r>
      <w:bookmarkEnd w:id="24"/>
    </w:p>
    <w:p w14:paraId="4E25CFBD" w14:textId="77777777" w:rsidR="00CB2334" w:rsidRPr="00CB2334" w:rsidRDefault="00CB2334" w:rsidP="00CB2334">
      <w:pPr>
        <w:spacing w:after="0" w:line="240" w:lineRule="auto"/>
        <w:ind w:left="720" w:hanging="720"/>
        <w:jc w:val="both"/>
        <w:rPr>
          <w:rFonts w:ascii="Calibri" w:hAnsi="Calibri" w:cs="Calibri"/>
          <w:noProof/>
          <w:szCs w:val="24"/>
        </w:rPr>
      </w:pPr>
      <w:bookmarkStart w:id="25" w:name="_ENREF_24"/>
      <w:r w:rsidRPr="00CB2334">
        <w:rPr>
          <w:rFonts w:ascii="Calibri" w:hAnsi="Calibri" w:cs="Calibri"/>
          <w:noProof/>
          <w:szCs w:val="24"/>
        </w:rPr>
        <w:t>24.</w:t>
      </w:r>
      <w:r w:rsidRPr="00CB2334">
        <w:rPr>
          <w:rFonts w:ascii="Calibri" w:hAnsi="Calibri" w:cs="Calibri"/>
          <w:noProof/>
          <w:szCs w:val="24"/>
        </w:rPr>
        <w:tab/>
        <w:t xml:space="preserve">ICCAT, </w:t>
      </w:r>
      <w:r w:rsidRPr="00CB2334">
        <w:rPr>
          <w:rFonts w:ascii="Calibri" w:hAnsi="Calibri" w:cs="Calibri"/>
          <w:i/>
          <w:noProof/>
          <w:szCs w:val="24"/>
        </w:rPr>
        <w:t>RECOMMENDATION BY ICCAT ESTABLISHING A MULTI-ANNUAL MANAGEMENT PLAN FOR BLUEFIN TUNA IN THE EASTERN ATLANTIC AND THE MEDITERRANEAN SEA.</w:t>
      </w:r>
      <w:r w:rsidRPr="00CB2334">
        <w:rPr>
          <w:rFonts w:ascii="Calibri" w:hAnsi="Calibri" w:cs="Calibri"/>
          <w:noProof/>
          <w:szCs w:val="24"/>
        </w:rPr>
        <w:t xml:space="preserve"> https://</w:t>
      </w:r>
      <w:hyperlink r:id="rId25" w:history="1">
        <w:r w:rsidRPr="00CB2334">
          <w:rPr>
            <w:rStyle w:val="Hyperlink"/>
            <w:rFonts w:ascii="Calibri" w:hAnsi="Calibri" w:cs="Calibri"/>
            <w:noProof/>
            <w:szCs w:val="24"/>
          </w:rPr>
          <w:t>www.iccat.int/Documents/Recs/compendiopdf-e/2018-02-e.pdf+&amp;cd=1&amp;hl=en&amp;ct=clnk&amp;gl=uk</w:t>
        </w:r>
      </w:hyperlink>
      <w:r w:rsidRPr="00CB2334">
        <w:rPr>
          <w:rFonts w:ascii="Calibri" w:hAnsi="Calibri" w:cs="Calibri"/>
          <w:noProof/>
          <w:szCs w:val="24"/>
        </w:rPr>
        <w:t>, 2018.</w:t>
      </w:r>
      <w:bookmarkEnd w:id="25"/>
    </w:p>
    <w:p w14:paraId="1B9F6FE0" w14:textId="77777777" w:rsidR="00CB2334" w:rsidRPr="00CB2334" w:rsidRDefault="00CB2334" w:rsidP="00CB2334">
      <w:pPr>
        <w:spacing w:line="240" w:lineRule="auto"/>
        <w:ind w:left="720" w:hanging="720"/>
        <w:jc w:val="both"/>
        <w:rPr>
          <w:rFonts w:ascii="Calibri" w:hAnsi="Calibri" w:cs="Calibri"/>
          <w:noProof/>
          <w:szCs w:val="24"/>
        </w:rPr>
      </w:pPr>
      <w:bookmarkStart w:id="26" w:name="_ENREF_25"/>
      <w:r w:rsidRPr="00CB2334">
        <w:rPr>
          <w:rFonts w:ascii="Calibri" w:hAnsi="Calibri" w:cs="Calibri"/>
          <w:noProof/>
          <w:szCs w:val="24"/>
        </w:rPr>
        <w:t>25.</w:t>
      </w:r>
      <w:r w:rsidRPr="00CB2334">
        <w:rPr>
          <w:rFonts w:ascii="Calibri" w:hAnsi="Calibri" w:cs="Calibri"/>
          <w:noProof/>
          <w:szCs w:val="24"/>
        </w:rPr>
        <w:tab/>
        <w:t xml:space="preserve">ICCAT, </w:t>
      </w:r>
      <w:r w:rsidRPr="00CB2334">
        <w:rPr>
          <w:rFonts w:ascii="Calibri" w:hAnsi="Calibri" w:cs="Calibri"/>
          <w:i/>
          <w:noProof/>
          <w:szCs w:val="24"/>
        </w:rPr>
        <w:t>RECOMMENDATION BY ICCAT FOR AN INTERIM CONSERVATION AND MANAGEMENT PLAN FOR WESTERN ATLANTIC BLUEFIN TUNA.</w:t>
      </w:r>
      <w:r w:rsidRPr="00CB2334">
        <w:rPr>
          <w:rFonts w:ascii="Calibri" w:hAnsi="Calibri" w:cs="Calibri"/>
          <w:noProof/>
          <w:szCs w:val="24"/>
        </w:rPr>
        <w:t xml:space="preserve"> https://</w:t>
      </w:r>
      <w:hyperlink r:id="rId26" w:history="1">
        <w:r w:rsidRPr="00CB2334">
          <w:rPr>
            <w:rStyle w:val="Hyperlink"/>
            <w:rFonts w:ascii="Calibri" w:hAnsi="Calibri" w:cs="Calibri"/>
            <w:noProof/>
            <w:szCs w:val="24"/>
          </w:rPr>
          <w:t>www.iccat.int/Documents/Recs/compendiopdf-e/2017-06-e.pdf+&amp;cd=2&amp;hl=en&amp;ct=clnk&amp;gl=uk</w:t>
        </w:r>
      </w:hyperlink>
      <w:r w:rsidRPr="00CB2334">
        <w:rPr>
          <w:rFonts w:ascii="Calibri" w:hAnsi="Calibri" w:cs="Calibri"/>
          <w:noProof/>
          <w:szCs w:val="24"/>
        </w:rPr>
        <w:t>, 2017.</w:t>
      </w:r>
      <w:bookmarkEnd w:id="26"/>
    </w:p>
    <w:p w14:paraId="4E9396E0" w14:textId="77777777" w:rsidR="00CB2334" w:rsidRDefault="00CB2334" w:rsidP="00CB2334">
      <w:pPr>
        <w:spacing w:line="240" w:lineRule="auto"/>
        <w:jc w:val="both"/>
        <w:rPr>
          <w:rFonts w:ascii="Times New Roman" w:hAnsi="Times New Roman" w:cs="Times New Roman"/>
          <w:noProof/>
          <w:szCs w:val="24"/>
        </w:rPr>
      </w:pPr>
    </w:p>
    <w:p w14:paraId="0F0FF98D" w14:textId="77777777" w:rsidR="008561FD" w:rsidRDefault="00FA10BC" w:rsidP="00092CEA">
      <w:pPr>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fldChar w:fldCharType="end"/>
      </w:r>
    </w:p>
    <w:p w14:paraId="72E55875" w14:textId="77777777" w:rsidR="00E9102B" w:rsidRDefault="00E9102B" w:rsidP="00092CEA">
      <w:pPr>
        <w:spacing w:line="360" w:lineRule="auto"/>
        <w:jc w:val="both"/>
        <w:rPr>
          <w:rFonts w:ascii="Times New Roman" w:hAnsi="Times New Roman" w:cs="Times New Roman"/>
          <w:sz w:val="24"/>
          <w:szCs w:val="24"/>
        </w:rPr>
      </w:pPr>
    </w:p>
    <w:p w14:paraId="637F7038" w14:textId="77777777" w:rsidR="00E9102B" w:rsidRDefault="00E9102B" w:rsidP="00092CEA">
      <w:pPr>
        <w:spacing w:line="360" w:lineRule="auto"/>
        <w:jc w:val="both"/>
        <w:rPr>
          <w:rFonts w:ascii="Times New Roman" w:hAnsi="Times New Roman" w:cs="Times New Roman"/>
          <w:sz w:val="24"/>
          <w:szCs w:val="24"/>
        </w:rPr>
      </w:pPr>
    </w:p>
    <w:p w14:paraId="2B010DF4" w14:textId="77777777" w:rsidR="00E9102B" w:rsidRDefault="00E9102B" w:rsidP="00092CEA">
      <w:pPr>
        <w:spacing w:line="360" w:lineRule="auto"/>
        <w:jc w:val="both"/>
        <w:rPr>
          <w:rFonts w:ascii="Times New Roman" w:hAnsi="Times New Roman" w:cs="Times New Roman"/>
          <w:sz w:val="24"/>
          <w:szCs w:val="24"/>
        </w:rPr>
      </w:pPr>
    </w:p>
    <w:p w14:paraId="62811BE9" w14:textId="77777777" w:rsidR="00E9102B" w:rsidRDefault="00E9102B" w:rsidP="00092CEA">
      <w:pPr>
        <w:spacing w:line="360" w:lineRule="auto"/>
        <w:jc w:val="both"/>
        <w:rPr>
          <w:rFonts w:ascii="Times New Roman" w:hAnsi="Times New Roman" w:cs="Times New Roman"/>
          <w:sz w:val="24"/>
          <w:szCs w:val="24"/>
        </w:rPr>
      </w:pPr>
    </w:p>
    <w:p w14:paraId="0E18A46C" w14:textId="77777777" w:rsidR="00E9102B" w:rsidRDefault="00E9102B" w:rsidP="00092CEA">
      <w:pPr>
        <w:spacing w:line="360" w:lineRule="auto"/>
        <w:jc w:val="both"/>
        <w:rPr>
          <w:rFonts w:ascii="Times New Roman" w:hAnsi="Times New Roman" w:cs="Times New Roman"/>
          <w:sz w:val="24"/>
          <w:szCs w:val="24"/>
        </w:rPr>
      </w:pPr>
    </w:p>
    <w:p w14:paraId="6268707D" w14:textId="77777777" w:rsidR="00E9102B" w:rsidRDefault="00E9102B" w:rsidP="00092CEA">
      <w:pPr>
        <w:spacing w:line="360" w:lineRule="auto"/>
        <w:jc w:val="both"/>
        <w:rPr>
          <w:rFonts w:ascii="Times New Roman" w:hAnsi="Times New Roman" w:cs="Times New Roman"/>
          <w:sz w:val="24"/>
          <w:szCs w:val="24"/>
        </w:rPr>
      </w:pPr>
    </w:p>
    <w:p w14:paraId="5BB06086" w14:textId="77777777" w:rsidR="00E9102B" w:rsidRPr="006E04D7" w:rsidRDefault="00E9102B" w:rsidP="00092CEA">
      <w:pPr>
        <w:spacing w:line="360" w:lineRule="auto"/>
        <w:jc w:val="both"/>
        <w:rPr>
          <w:rFonts w:ascii="Times New Roman" w:hAnsi="Times New Roman" w:cs="Times New Roman"/>
          <w:sz w:val="24"/>
          <w:szCs w:val="24"/>
        </w:rPr>
      </w:pPr>
    </w:p>
    <w:p w14:paraId="1873CADA" w14:textId="77777777" w:rsidR="008561FD" w:rsidRPr="006E04D7" w:rsidRDefault="008561FD" w:rsidP="007E6C97">
      <w:pPr>
        <w:pStyle w:val="Heading1"/>
        <w:numPr>
          <w:ilvl w:val="0"/>
          <w:numId w:val="0"/>
        </w:numPr>
        <w:spacing w:line="360" w:lineRule="auto"/>
        <w:rPr>
          <w:rFonts w:ascii="Times New Roman" w:hAnsi="Times New Roman" w:cs="Times New Roman"/>
        </w:rPr>
      </w:pPr>
      <w:r w:rsidRPr="006E04D7">
        <w:rPr>
          <w:rFonts w:ascii="Times New Roman" w:hAnsi="Times New Roman" w:cs="Times New Roman"/>
        </w:rPr>
        <w:t>Appendix</w:t>
      </w:r>
      <w:r w:rsidR="00F03017" w:rsidRPr="006E04D7">
        <w:rPr>
          <w:rFonts w:ascii="Times New Roman" w:hAnsi="Times New Roman" w:cs="Times New Roman"/>
        </w:rPr>
        <w:t>:</w:t>
      </w:r>
    </w:p>
    <w:p w14:paraId="2D39BC54" w14:textId="77777777" w:rsidR="00F03017" w:rsidRPr="006E04D7" w:rsidRDefault="00F03017" w:rsidP="00F03017">
      <w:pPr>
        <w:rPr>
          <w:rFonts w:ascii="Times New Roman" w:hAnsi="Times New Roman"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65"/>
        <w:gridCol w:w="850"/>
        <w:gridCol w:w="993"/>
        <w:gridCol w:w="992"/>
        <w:gridCol w:w="992"/>
        <w:gridCol w:w="851"/>
        <w:gridCol w:w="850"/>
        <w:gridCol w:w="851"/>
        <w:gridCol w:w="1134"/>
      </w:tblGrid>
      <w:tr w:rsidR="0009676B" w:rsidRPr="006E04D7" w14:paraId="268F83F7" w14:textId="77777777" w:rsidTr="0009676B">
        <w:trPr>
          <w:trHeight w:val="297"/>
        </w:trPr>
        <w:tc>
          <w:tcPr>
            <w:tcW w:w="648" w:type="dxa"/>
            <w:shd w:val="clear" w:color="auto" w:fill="auto"/>
            <w:noWrap/>
            <w:vAlign w:val="bottom"/>
          </w:tcPr>
          <w:p w14:paraId="1AFA9FA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Year </w:t>
            </w:r>
          </w:p>
        </w:tc>
        <w:tc>
          <w:tcPr>
            <w:tcW w:w="765" w:type="dxa"/>
            <w:shd w:val="clear" w:color="auto" w:fill="auto"/>
            <w:noWrap/>
            <w:vAlign w:val="bottom"/>
          </w:tcPr>
          <w:p w14:paraId="1BCBD24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BB</w:t>
            </w:r>
          </w:p>
        </w:tc>
        <w:tc>
          <w:tcPr>
            <w:tcW w:w="850" w:type="dxa"/>
            <w:shd w:val="clear" w:color="auto" w:fill="auto"/>
            <w:noWrap/>
            <w:vAlign w:val="bottom"/>
          </w:tcPr>
          <w:p w14:paraId="754E333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HL</w:t>
            </w:r>
          </w:p>
        </w:tc>
        <w:tc>
          <w:tcPr>
            <w:tcW w:w="993" w:type="dxa"/>
            <w:shd w:val="clear" w:color="auto" w:fill="auto"/>
            <w:noWrap/>
            <w:vAlign w:val="bottom"/>
          </w:tcPr>
          <w:p w14:paraId="540F03B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LL</w:t>
            </w:r>
          </w:p>
        </w:tc>
        <w:tc>
          <w:tcPr>
            <w:tcW w:w="992" w:type="dxa"/>
            <w:shd w:val="clear" w:color="auto" w:fill="auto"/>
            <w:noWrap/>
            <w:vAlign w:val="bottom"/>
          </w:tcPr>
          <w:p w14:paraId="5F0E7BB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Other</w:t>
            </w:r>
          </w:p>
        </w:tc>
        <w:tc>
          <w:tcPr>
            <w:tcW w:w="992" w:type="dxa"/>
            <w:shd w:val="clear" w:color="auto" w:fill="auto"/>
            <w:noWrap/>
            <w:vAlign w:val="bottom"/>
          </w:tcPr>
          <w:p w14:paraId="49ADEFF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PS</w:t>
            </w:r>
          </w:p>
        </w:tc>
        <w:tc>
          <w:tcPr>
            <w:tcW w:w="851" w:type="dxa"/>
            <w:shd w:val="clear" w:color="auto" w:fill="auto"/>
            <w:noWrap/>
            <w:vAlign w:val="bottom"/>
          </w:tcPr>
          <w:p w14:paraId="30DB4BD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RR</w:t>
            </w:r>
          </w:p>
        </w:tc>
        <w:tc>
          <w:tcPr>
            <w:tcW w:w="850" w:type="dxa"/>
            <w:shd w:val="clear" w:color="auto" w:fill="auto"/>
            <w:noWrap/>
            <w:vAlign w:val="bottom"/>
          </w:tcPr>
          <w:p w14:paraId="67FA508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TP</w:t>
            </w:r>
          </w:p>
        </w:tc>
        <w:tc>
          <w:tcPr>
            <w:tcW w:w="851" w:type="dxa"/>
            <w:shd w:val="clear" w:color="auto" w:fill="auto"/>
            <w:noWrap/>
            <w:vAlign w:val="bottom"/>
          </w:tcPr>
          <w:p w14:paraId="08F00C7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TR</w:t>
            </w:r>
          </w:p>
        </w:tc>
        <w:tc>
          <w:tcPr>
            <w:tcW w:w="1134" w:type="dxa"/>
            <w:shd w:val="clear" w:color="auto" w:fill="auto"/>
            <w:noWrap/>
            <w:vAlign w:val="bottom"/>
          </w:tcPr>
          <w:p w14:paraId="7C1AADE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Yearly Total catches</w:t>
            </w:r>
          </w:p>
        </w:tc>
      </w:tr>
      <w:tr w:rsidR="0009676B" w:rsidRPr="006E04D7" w14:paraId="545B42CA" w14:textId="77777777" w:rsidTr="0009676B">
        <w:trPr>
          <w:trHeight w:val="297"/>
        </w:trPr>
        <w:tc>
          <w:tcPr>
            <w:tcW w:w="648" w:type="dxa"/>
            <w:shd w:val="clear" w:color="auto" w:fill="auto"/>
            <w:noWrap/>
            <w:vAlign w:val="bottom"/>
            <w:hideMark/>
          </w:tcPr>
          <w:p w14:paraId="6AC661F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1995</w:t>
            </w:r>
          </w:p>
        </w:tc>
        <w:tc>
          <w:tcPr>
            <w:tcW w:w="765" w:type="dxa"/>
            <w:shd w:val="clear" w:color="auto" w:fill="auto"/>
            <w:noWrap/>
            <w:vAlign w:val="bottom"/>
            <w:hideMark/>
          </w:tcPr>
          <w:p w14:paraId="57A9F6C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206</w:t>
            </w:r>
          </w:p>
        </w:tc>
        <w:tc>
          <w:tcPr>
            <w:tcW w:w="850" w:type="dxa"/>
            <w:shd w:val="clear" w:color="auto" w:fill="auto"/>
            <w:noWrap/>
            <w:vAlign w:val="bottom"/>
            <w:hideMark/>
          </w:tcPr>
          <w:p w14:paraId="2E6D48C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2745.751</w:t>
            </w:r>
          </w:p>
        </w:tc>
        <w:tc>
          <w:tcPr>
            <w:tcW w:w="993" w:type="dxa"/>
            <w:shd w:val="clear" w:color="auto" w:fill="auto"/>
            <w:noWrap/>
            <w:vAlign w:val="bottom"/>
            <w:hideMark/>
          </w:tcPr>
          <w:p w14:paraId="318D9FE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1791.9752</w:t>
            </w:r>
          </w:p>
        </w:tc>
        <w:tc>
          <w:tcPr>
            <w:tcW w:w="992" w:type="dxa"/>
            <w:shd w:val="clear" w:color="auto" w:fill="auto"/>
            <w:noWrap/>
            <w:vAlign w:val="bottom"/>
            <w:hideMark/>
          </w:tcPr>
          <w:p w14:paraId="213C682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504.099</w:t>
            </w:r>
          </w:p>
        </w:tc>
        <w:tc>
          <w:tcPr>
            <w:tcW w:w="992" w:type="dxa"/>
            <w:shd w:val="clear" w:color="auto" w:fill="auto"/>
            <w:noWrap/>
            <w:vAlign w:val="bottom"/>
            <w:hideMark/>
          </w:tcPr>
          <w:p w14:paraId="2574E7C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23799</w:t>
            </w:r>
          </w:p>
        </w:tc>
        <w:tc>
          <w:tcPr>
            <w:tcW w:w="851" w:type="dxa"/>
            <w:shd w:val="clear" w:color="auto" w:fill="auto"/>
            <w:noWrap/>
            <w:vAlign w:val="bottom"/>
            <w:hideMark/>
          </w:tcPr>
          <w:p w14:paraId="10EC92F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816</w:t>
            </w:r>
          </w:p>
        </w:tc>
        <w:tc>
          <w:tcPr>
            <w:tcW w:w="850" w:type="dxa"/>
            <w:shd w:val="clear" w:color="auto" w:fill="auto"/>
            <w:noWrap/>
            <w:vAlign w:val="bottom"/>
            <w:hideMark/>
          </w:tcPr>
          <w:p w14:paraId="5ECDCC4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941.96</w:t>
            </w:r>
          </w:p>
        </w:tc>
        <w:tc>
          <w:tcPr>
            <w:tcW w:w="851" w:type="dxa"/>
            <w:shd w:val="clear" w:color="auto" w:fill="auto"/>
            <w:noWrap/>
            <w:vAlign w:val="bottom"/>
            <w:hideMark/>
          </w:tcPr>
          <w:p w14:paraId="182226B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17.421</w:t>
            </w:r>
          </w:p>
        </w:tc>
        <w:tc>
          <w:tcPr>
            <w:tcW w:w="1134" w:type="dxa"/>
            <w:shd w:val="clear" w:color="auto" w:fill="auto"/>
            <w:noWrap/>
            <w:vAlign w:val="bottom"/>
            <w:hideMark/>
          </w:tcPr>
          <w:p w14:paraId="713333E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30822.20615</w:t>
            </w:r>
          </w:p>
        </w:tc>
      </w:tr>
      <w:tr w:rsidR="0009676B" w:rsidRPr="006E04D7" w14:paraId="3994B07A" w14:textId="77777777" w:rsidTr="0009676B">
        <w:trPr>
          <w:trHeight w:val="297"/>
        </w:trPr>
        <w:tc>
          <w:tcPr>
            <w:tcW w:w="648" w:type="dxa"/>
            <w:shd w:val="clear" w:color="auto" w:fill="auto"/>
            <w:noWrap/>
            <w:vAlign w:val="bottom"/>
            <w:hideMark/>
          </w:tcPr>
          <w:p w14:paraId="4C1E34C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1996</w:t>
            </w:r>
          </w:p>
        </w:tc>
        <w:tc>
          <w:tcPr>
            <w:tcW w:w="765" w:type="dxa"/>
            <w:shd w:val="clear" w:color="auto" w:fill="auto"/>
            <w:noWrap/>
            <w:vAlign w:val="bottom"/>
            <w:hideMark/>
          </w:tcPr>
          <w:p w14:paraId="3DDC41C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w:t>
            </w:r>
          </w:p>
        </w:tc>
        <w:tc>
          <w:tcPr>
            <w:tcW w:w="850" w:type="dxa"/>
            <w:shd w:val="clear" w:color="auto" w:fill="auto"/>
            <w:noWrap/>
            <w:vAlign w:val="bottom"/>
            <w:hideMark/>
          </w:tcPr>
          <w:p w14:paraId="45D4A76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1828</w:t>
            </w:r>
          </w:p>
        </w:tc>
        <w:tc>
          <w:tcPr>
            <w:tcW w:w="993" w:type="dxa"/>
            <w:shd w:val="clear" w:color="auto" w:fill="auto"/>
            <w:noWrap/>
            <w:vAlign w:val="bottom"/>
            <w:hideMark/>
          </w:tcPr>
          <w:p w14:paraId="0A268C5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9855.584</w:t>
            </w:r>
          </w:p>
        </w:tc>
        <w:tc>
          <w:tcPr>
            <w:tcW w:w="992" w:type="dxa"/>
            <w:shd w:val="clear" w:color="auto" w:fill="auto"/>
            <w:noWrap/>
            <w:vAlign w:val="bottom"/>
            <w:hideMark/>
          </w:tcPr>
          <w:p w14:paraId="03E26D0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338.42</w:t>
            </w:r>
          </w:p>
        </w:tc>
        <w:tc>
          <w:tcPr>
            <w:tcW w:w="992" w:type="dxa"/>
            <w:shd w:val="clear" w:color="auto" w:fill="auto"/>
            <w:noWrap/>
            <w:vAlign w:val="bottom"/>
            <w:hideMark/>
          </w:tcPr>
          <w:p w14:paraId="207D585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26021</w:t>
            </w:r>
          </w:p>
        </w:tc>
        <w:tc>
          <w:tcPr>
            <w:tcW w:w="851" w:type="dxa"/>
            <w:shd w:val="clear" w:color="auto" w:fill="auto"/>
            <w:noWrap/>
            <w:vAlign w:val="bottom"/>
            <w:hideMark/>
          </w:tcPr>
          <w:p w14:paraId="03B307A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321.277</w:t>
            </w:r>
          </w:p>
        </w:tc>
        <w:tc>
          <w:tcPr>
            <w:tcW w:w="850" w:type="dxa"/>
            <w:shd w:val="clear" w:color="auto" w:fill="auto"/>
            <w:noWrap/>
            <w:vAlign w:val="bottom"/>
            <w:hideMark/>
          </w:tcPr>
          <w:p w14:paraId="063969C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950.61</w:t>
            </w:r>
          </w:p>
        </w:tc>
        <w:tc>
          <w:tcPr>
            <w:tcW w:w="851" w:type="dxa"/>
            <w:shd w:val="clear" w:color="auto" w:fill="auto"/>
            <w:noWrap/>
            <w:vAlign w:val="bottom"/>
            <w:hideMark/>
          </w:tcPr>
          <w:p w14:paraId="639C0EDF"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78.992</w:t>
            </w:r>
          </w:p>
        </w:tc>
        <w:tc>
          <w:tcPr>
            <w:tcW w:w="1134" w:type="dxa"/>
            <w:shd w:val="clear" w:color="auto" w:fill="auto"/>
            <w:noWrap/>
            <w:vAlign w:val="bottom"/>
            <w:hideMark/>
          </w:tcPr>
          <w:p w14:paraId="74F36C7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39398.88299</w:t>
            </w:r>
          </w:p>
        </w:tc>
      </w:tr>
      <w:tr w:rsidR="0009676B" w:rsidRPr="006E04D7" w14:paraId="72137880" w14:textId="77777777" w:rsidTr="0009676B">
        <w:trPr>
          <w:trHeight w:val="297"/>
        </w:trPr>
        <w:tc>
          <w:tcPr>
            <w:tcW w:w="648" w:type="dxa"/>
            <w:shd w:val="clear" w:color="auto" w:fill="auto"/>
            <w:noWrap/>
            <w:vAlign w:val="bottom"/>
            <w:hideMark/>
          </w:tcPr>
          <w:p w14:paraId="1843086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1997</w:t>
            </w:r>
          </w:p>
        </w:tc>
        <w:tc>
          <w:tcPr>
            <w:tcW w:w="765" w:type="dxa"/>
            <w:shd w:val="clear" w:color="auto" w:fill="auto"/>
            <w:noWrap/>
            <w:vAlign w:val="bottom"/>
            <w:hideMark/>
          </w:tcPr>
          <w:p w14:paraId="5EA6D161"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w:t>
            </w:r>
          </w:p>
        </w:tc>
        <w:tc>
          <w:tcPr>
            <w:tcW w:w="850" w:type="dxa"/>
            <w:shd w:val="clear" w:color="auto" w:fill="auto"/>
            <w:noWrap/>
            <w:vAlign w:val="bottom"/>
            <w:hideMark/>
          </w:tcPr>
          <w:p w14:paraId="40BB4E4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2071</w:t>
            </w:r>
          </w:p>
        </w:tc>
        <w:tc>
          <w:tcPr>
            <w:tcW w:w="993" w:type="dxa"/>
            <w:shd w:val="clear" w:color="auto" w:fill="auto"/>
            <w:noWrap/>
            <w:vAlign w:val="bottom"/>
            <w:hideMark/>
          </w:tcPr>
          <w:p w14:paraId="6CB6E40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7313.224</w:t>
            </w:r>
          </w:p>
        </w:tc>
        <w:tc>
          <w:tcPr>
            <w:tcW w:w="992" w:type="dxa"/>
            <w:shd w:val="clear" w:color="auto" w:fill="auto"/>
            <w:noWrap/>
            <w:vAlign w:val="bottom"/>
            <w:hideMark/>
          </w:tcPr>
          <w:p w14:paraId="3F57433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275</w:t>
            </w:r>
          </w:p>
        </w:tc>
        <w:tc>
          <w:tcPr>
            <w:tcW w:w="992" w:type="dxa"/>
            <w:shd w:val="clear" w:color="auto" w:fill="auto"/>
            <w:noWrap/>
            <w:vAlign w:val="bottom"/>
            <w:hideMark/>
          </w:tcPr>
          <w:p w14:paraId="11B9E73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24278.99999</w:t>
            </w:r>
          </w:p>
        </w:tc>
        <w:tc>
          <w:tcPr>
            <w:tcW w:w="851" w:type="dxa"/>
            <w:shd w:val="clear" w:color="auto" w:fill="auto"/>
            <w:noWrap/>
            <w:vAlign w:val="bottom"/>
            <w:hideMark/>
          </w:tcPr>
          <w:p w14:paraId="23E76A0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31.444</w:t>
            </w:r>
          </w:p>
        </w:tc>
        <w:tc>
          <w:tcPr>
            <w:tcW w:w="850" w:type="dxa"/>
            <w:shd w:val="clear" w:color="auto" w:fill="auto"/>
            <w:noWrap/>
            <w:vAlign w:val="bottom"/>
            <w:hideMark/>
          </w:tcPr>
          <w:p w14:paraId="7FDBEBA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612.9</w:t>
            </w:r>
          </w:p>
        </w:tc>
        <w:tc>
          <w:tcPr>
            <w:tcW w:w="851" w:type="dxa"/>
            <w:shd w:val="clear" w:color="auto" w:fill="auto"/>
            <w:noWrap/>
            <w:vAlign w:val="bottom"/>
            <w:hideMark/>
          </w:tcPr>
          <w:p w14:paraId="32EC66B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7.103</w:t>
            </w:r>
          </w:p>
        </w:tc>
        <w:tc>
          <w:tcPr>
            <w:tcW w:w="1134" w:type="dxa"/>
            <w:shd w:val="clear" w:color="auto" w:fill="auto"/>
            <w:noWrap/>
            <w:vAlign w:val="bottom"/>
            <w:hideMark/>
          </w:tcPr>
          <w:p w14:paraId="322C8C6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34593.67102</w:t>
            </w:r>
          </w:p>
        </w:tc>
      </w:tr>
      <w:tr w:rsidR="0009676B" w:rsidRPr="006E04D7" w14:paraId="69CE5214" w14:textId="77777777" w:rsidTr="0009676B">
        <w:trPr>
          <w:trHeight w:val="297"/>
        </w:trPr>
        <w:tc>
          <w:tcPr>
            <w:tcW w:w="648" w:type="dxa"/>
            <w:shd w:val="clear" w:color="auto" w:fill="auto"/>
            <w:noWrap/>
            <w:vAlign w:val="bottom"/>
            <w:hideMark/>
          </w:tcPr>
          <w:p w14:paraId="7002B6F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1998</w:t>
            </w:r>
          </w:p>
        </w:tc>
        <w:tc>
          <w:tcPr>
            <w:tcW w:w="765" w:type="dxa"/>
            <w:shd w:val="clear" w:color="auto" w:fill="auto"/>
            <w:noWrap/>
            <w:vAlign w:val="bottom"/>
            <w:hideMark/>
          </w:tcPr>
          <w:p w14:paraId="3332144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w:t>
            </w:r>
          </w:p>
        </w:tc>
        <w:tc>
          <w:tcPr>
            <w:tcW w:w="850" w:type="dxa"/>
            <w:shd w:val="clear" w:color="auto" w:fill="auto"/>
            <w:noWrap/>
            <w:vAlign w:val="bottom"/>
            <w:hideMark/>
          </w:tcPr>
          <w:p w14:paraId="2341771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1061.00001</w:t>
            </w:r>
          </w:p>
        </w:tc>
        <w:tc>
          <w:tcPr>
            <w:tcW w:w="993" w:type="dxa"/>
            <w:shd w:val="clear" w:color="auto" w:fill="auto"/>
            <w:noWrap/>
            <w:vAlign w:val="bottom"/>
            <w:hideMark/>
          </w:tcPr>
          <w:p w14:paraId="21833C4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4117.072</w:t>
            </w:r>
          </w:p>
        </w:tc>
        <w:tc>
          <w:tcPr>
            <w:tcW w:w="992" w:type="dxa"/>
            <w:shd w:val="clear" w:color="auto" w:fill="auto"/>
            <w:noWrap/>
            <w:vAlign w:val="bottom"/>
            <w:hideMark/>
          </w:tcPr>
          <w:p w14:paraId="42AD0241"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273</w:t>
            </w:r>
          </w:p>
        </w:tc>
        <w:tc>
          <w:tcPr>
            <w:tcW w:w="992" w:type="dxa"/>
            <w:shd w:val="clear" w:color="auto" w:fill="auto"/>
            <w:noWrap/>
            <w:vAlign w:val="bottom"/>
            <w:hideMark/>
          </w:tcPr>
          <w:p w14:paraId="023C5ED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31792.12702</w:t>
            </w:r>
          </w:p>
        </w:tc>
        <w:tc>
          <w:tcPr>
            <w:tcW w:w="851" w:type="dxa"/>
            <w:shd w:val="clear" w:color="auto" w:fill="auto"/>
            <w:noWrap/>
            <w:vAlign w:val="bottom"/>
            <w:hideMark/>
          </w:tcPr>
          <w:p w14:paraId="611029A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31.444</w:t>
            </w:r>
          </w:p>
        </w:tc>
        <w:tc>
          <w:tcPr>
            <w:tcW w:w="850" w:type="dxa"/>
            <w:shd w:val="clear" w:color="auto" w:fill="auto"/>
            <w:noWrap/>
            <w:vAlign w:val="bottom"/>
            <w:hideMark/>
          </w:tcPr>
          <w:p w14:paraId="441B2F6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852</w:t>
            </w:r>
          </w:p>
        </w:tc>
        <w:tc>
          <w:tcPr>
            <w:tcW w:w="851" w:type="dxa"/>
            <w:shd w:val="clear" w:color="auto" w:fill="auto"/>
            <w:noWrap/>
            <w:vAlign w:val="bottom"/>
            <w:hideMark/>
          </w:tcPr>
          <w:p w14:paraId="61F59E2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10.645</w:t>
            </w:r>
          </w:p>
        </w:tc>
        <w:tc>
          <w:tcPr>
            <w:tcW w:w="1134" w:type="dxa"/>
            <w:shd w:val="clear" w:color="auto" w:fill="auto"/>
            <w:noWrap/>
            <w:vAlign w:val="bottom"/>
            <w:hideMark/>
          </w:tcPr>
          <w:p w14:paraId="26C189C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38148.288</w:t>
            </w:r>
          </w:p>
        </w:tc>
      </w:tr>
      <w:tr w:rsidR="0009676B" w:rsidRPr="006E04D7" w14:paraId="36B3ECCF" w14:textId="77777777" w:rsidTr="0009676B">
        <w:trPr>
          <w:trHeight w:val="297"/>
        </w:trPr>
        <w:tc>
          <w:tcPr>
            <w:tcW w:w="648" w:type="dxa"/>
            <w:shd w:val="clear" w:color="auto" w:fill="auto"/>
            <w:noWrap/>
            <w:vAlign w:val="bottom"/>
            <w:hideMark/>
          </w:tcPr>
          <w:p w14:paraId="2B2FC67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1999</w:t>
            </w:r>
          </w:p>
        </w:tc>
        <w:tc>
          <w:tcPr>
            <w:tcW w:w="765" w:type="dxa"/>
            <w:shd w:val="clear" w:color="auto" w:fill="auto"/>
            <w:noWrap/>
            <w:vAlign w:val="bottom"/>
            <w:hideMark/>
          </w:tcPr>
          <w:p w14:paraId="62DDD77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w:t>
            </w:r>
          </w:p>
        </w:tc>
        <w:tc>
          <w:tcPr>
            <w:tcW w:w="850" w:type="dxa"/>
            <w:shd w:val="clear" w:color="auto" w:fill="auto"/>
            <w:noWrap/>
            <w:vAlign w:val="bottom"/>
            <w:hideMark/>
          </w:tcPr>
          <w:p w14:paraId="739EC87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1284.38583</w:t>
            </w:r>
          </w:p>
        </w:tc>
        <w:tc>
          <w:tcPr>
            <w:tcW w:w="993" w:type="dxa"/>
            <w:shd w:val="clear" w:color="auto" w:fill="auto"/>
            <w:noWrap/>
            <w:vAlign w:val="bottom"/>
            <w:hideMark/>
          </w:tcPr>
          <w:p w14:paraId="2D7D62D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3338.265</w:t>
            </w:r>
          </w:p>
        </w:tc>
        <w:tc>
          <w:tcPr>
            <w:tcW w:w="992" w:type="dxa"/>
            <w:shd w:val="clear" w:color="auto" w:fill="auto"/>
            <w:noWrap/>
            <w:vAlign w:val="bottom"/>
            <w:hideMark/>
          </w:tcPr>
          <w:p w14:paraId="3E456AE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218</w:t>
            </w:r>
          </w:p>
        </w:tc>
        <w:tc>
          <w:tcPr>
            <w:tcW w:w="992" w:type="dxa"/>
            <w:shd w:val="clear" w:color="auto" w:fill="auto"/>
            <w:noWrap/>
            <w:vAlign w:val="bottom"/>
            <w:hideMark/>
          </w:tcPr>
          <w:p w14:paraId="082324D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33798.496</w:t>
            </w:r>
          </w:p>
        </w:tc>
        <w:tc>
          <w:tcPr>
            <w:tcW w:w="851" w:type="dxa"/>
            <w:shd w:val="clear" w:color="auto" w:fill="auto"/>
            <w:noWrap/>
            <w:vAlign w:val="bottom"/>
            <w:hideMark/>
          </w:tcPr>
          <w:p w14:paraId="47492EC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248.13318</w:t>
            </w:r>
          </w:p>
        </w:tc>
        <w:tc>
          <w:tcPr>
            <w:tcW w:w="850" w:type="dxa"/>
            <w:shd w:val="clear" w:color="auto" w:fill="auto"/>
            <w:noWrap/>
            <w:vAlign w:val="bottom"/>
            <w:hideMark/>
          </w:tcPr>
          <w:p w14:paraId="5D94B75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852</w:t>
            </w:r>
          </w:p>
        </w:tc>
        <w:tc>
          <w:tcPr>
            <w:tcW w:w="851" w:type="dxa"/>
            <w:shd w:val="clear" w:color="auto" w:fill="auto"/>
            <w:noWrap/>
            <w:vAlign w:val="bottom"/>
            <w:hideMark/>
          </w:tcPr>
          <w:p w14:paraId="2D49D0F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9.912</w:t>
            </w:r>
          </w:p>
        </w:tc>
        <w:tc>
          <w:tcPr>
            <w:tcW w:w="1134" w:type="dxa"/>
            <w:shd w:val="clear" w:color="auto" w:fill="auto"/>
            <w:noWrap/>
            <w:vAlign w:val="bottom"/>
            <w:hideMark/>
          </w:tcPr>
          <w:p w14:paraId="03E3014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39753.19201</w:t>
            </w:r>
          </w:p>
        </w:tc>
      </w:tr>
      <w:tr w:rsidR="0009676B" w:rsidRPr="006E04D7" w14:paraId="3A5E54FF" w14:textId="77777777" w:rsidTr="0009676B">
        <w:trPr>
          <w:trHeight w:val="297"/>
        </w:trPr>
        <w:tc>
          <w:tcPr>
            <w:tcW w:w="648" w:type="dxa"/>
            <w:shd w:val="clear" w:color="auto" w:fill="auto"/>
            <w:noWrap/>
            <w:vAlign w:val="bottom"/>
            <w:hideMark/>
          </w:tcPr>
          <w:p w14:paraId="2F90A501"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2000</w:t>
            </w:r>
          </w:p>
        </w:tc>
        <w:tc>
          <w:tcPr>
            <w:tcW w:w="765" w:type="dxa"/>
            <w:shd w:val="clear" w:color="auto" w:fill="auto"/>
            <w:noWrap/>
            <w:vAlign w:val="bottom"/>
            <w:hideMark/>
          </w:tcPr>
          <w:p w14:paraId="5B16EF1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37.802</w:t>
            </w:r>
          </w:p>
        </w:tc>
        <w:tc>
          <w:tcPr>
            <w:tcW w:w="850" w:type="dxa"/>
            <w:shd w:val="clear" w:color="auto" w:fill="auto"/>
            <w:noWrap/>
            <w:vAlign w:val="bottom"/>
            <w:hideMark/>
          </w:tcPr>
          <w:p w14:paraId="19DFAD3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1541.76504</w:t>
            </w:r>
          </w:p>
        </w:tc>
        <w:tc>
          <w:tcPr>
            <w:tcW w:w="993" w:type="dxa"/>
            <w:shd w:val="clear" w:color="auto" w:fill="auto"/>
            <w:noWrap/>
            <w:vAlign w:val="bottom"/>
            <w:hideMark/>
          </w:tcPr>
          <w:p w14:paraId="3503BDC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3423.923</w:t>
            </w:r>
          </w:p>
        </w:tc>
        <w:tc>
          <w:tcPr>
            <w:tcW w:w="992" w:type="dxa"/>
            <w:shd w:val="clear" w:color="auto" w:fill="auto"/>
            <w:noWrap/>
            <w:vAlign w:val="bottom"/>
            <w:hideMark/>
          </w:tcPr>
          <w:p w14:paraId="6B93CBF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725.94601</w:t>
            </w:r>
          </w:p>
        </w:tc>
        <w:tc>
          <w:tcPr>
            <w:tcW w:w="992" w:type="dxa"/>
            <w:shd w:val="clear" w:color="auto" w:fill="auto"/>
            <w:noWrap/>
            <w:vAlign w:val="bottom"/>
            <w:hideMark/>
          </w:tcPr>
          <w:p w14:paraId="200397D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33237.382</w:t>
            </w:r>
          </w:p>
        </w:tc>
        <w:tc>
          <w:tcPr>
            <w:tcW w:w="851" w:type="dxa"/>
            <w:shd w:val="clear" w:color="auto" w:fill="auto"/>
            <w:noWrap/>
            <w:vAlign w:val="bottom"/>
            <w:hideMark/>
          </w:tcPr>
          <w:p w14:paraId="44E420D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230.77693</w:t>
            </w:r>
          </w:p>
        </w:tc>
        <w:tc>
          <w:tcPr>
            <w:tcW w:w="850" w:type="dxa"/>
            <w:shd w:val="clear" w:color="auto" w:fill="auto"/>
            <w:noWrap/>
            <w:vAlign w:val="bottom"/>
            <w:hideMark/>
          </w:tcPr>
          <w:p w14:paraId="7ECCB1D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739.003</w:t>
            </w:r>
          </w:p>
        </w:tc>
        <w:tc>
          <w:tcPr>
            <w:tcW w:w="851" w:type="dxa"/>
            <w:shd w:val="clear" w:color="auto" w:fill="auto"/>
            <w:noWrap/>
            <w:vAlign w:val="bottom"/>
            <w:hideMark/>
          </w:tcPr>
          <w:p w14:paraId="0DD082B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2.168</w:t>
            </w:r>
          </w:p>
        </w:tc>
        <w:tc>
          <w:tcPr>
            <w:tcW w:w="1134" w:type="dxa"/>
            <w:shd w:val="clear" w:color="auto" w:fill="auto"/>
            <w:noWrap/>
            <w:vAlign w:val="bottom"/>
            <w:hideMark/>
          </w:tcPr>
          <w:p w14:paraId="1333841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39938.76598</w:t>
            </w:r>
          </w:p>
        </w:tc>
      </w:tr>
      <w:tr w:rsidR="0009676B" w:rsidRPr="006E04D7" w14:paraId="78388868" w14:textId="77777777" w:rsidTr="0009676B">
        <w:trPr>
          <w:trHeight w:val="297"/>
        </w:trPr>
        <w:tc>
          <w:tcPr>
            <w:tcW w:w="648" w:type="dxa"/>
            <w:shd w:val="clear" w:color="auto" w:fill="auto"/>
            <w:noWrap/>
            <w:vAlign w:val="bottom"/>
            <w:hideMark/>
          </w:tcPr>
          <w:p w14:paraId="4FEF85C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2001</w:t>
            </w:r>
          </w:p>
        </w:tc>
        <w:tc>
          <w:tcPr>
            <w:tcW w:w="765" w:type="dxa"/>
            <w:shd w:val="clear" w:color="auto" w:fill="auto"/>
            <w:noWrap/>
            <w:vAlign w:val="bottom"/>
            <w:hideMark/>
          </w:tcPr>
          <w:p w14:paraId="32EC775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28.1</w:t>
            </w:r>
          </w:p>
        </w:tc>
        <w:tc>
          <w:tcPr>
            <w:tcW w:w="850" w:type="dxa"/>
            <w:shd w:val="clear" w:color="auto" w:fill="auto"/>
            <w:noWrap/>
            <w:vAlign w:val="bottom"/>
            <w:hideMark/>
          </w:tcPr>
          <w:p w14:paraId="34AB201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890.41406</w:t>
            </w:r>
          </w:p>
        </w:tc>
        <w:tc>
          <w:tcPr>
            <w:tcW w:w="993" w:type="dxa"/>
            <w:shd w:val="clear" w:color="auto" w:fill="auto"/>
            <w:noWrap/>
            <w:vAlign w:val="bottom"/>
            <w:hideMark/>
          </w:tcPr>
          <w:p w14:paraId="23FB0A3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4144.09</w:t>
            </w:r>
          </w:p>
        </w:tc>
        <w:tc>
          <w:tcPr>
            <w:tcW w:w="992" w:type="dxa"/>
            <w:shd w:val="clear" w:color="auto" w:fill="auto"/>
            <w:noWrap/>
            <w:vAlign w:val="bottom"/>
            <w:hideMark/>
          </w:tcPr>
          <w:p w14:paraId="70C4B7F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348.688</w:t>
            </w:r>
          </w:p>
        </w:tc>
        <w:tc>
          <w:tcPr>
            <w:tcW w:w="992" w:type="dxa"/>
            <w:shd w:val="clear" w:color="auto" w:fill="auto"/>
            <w:noWrap/>
            <w:vAlign w:val="bottom"/>
            <w:hideMark/>
          </w:tcPr>
          <w:p w14:paraId="45D2C84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33043.168</w:t>
            </w:r>
          </w:p>
        </w:tc>
        <w:tc>
          <w:tcPr>
            <w:tcW w:w="851" w:type="dxa"/>
            <w:shd w:val="clear" w:color="auto" w:fill="auto"/>
            <w:noWrap/>
            <w:vAlign w:val="bottom"/>
            <w:hideMark/>
          </w:tcPr>
          <w:p w14:paraId="425A8A0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276.91996</w:t>
            </w:r>
          </w:p>
        </w:tc>
        <w:tc>
          <w:tcPr>
            <w:tcW w:w="850" w:type="dxa"/>
            <w:shd w:val="clear" w:color="auto" w:fill="auto"/>
            <w:noWrap/>
            <w:vAlign w:val="bottom"/>
            <w:hideMark/>
          </w:tcPr>
          <w:p w14:paraId="266E5C3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1177.272</w:t>
            </w:r>
          </w:p>
        </w:tc>
        <w:tc>
          <w:tcPr>
            <w:tcW w:w="851" w:type="dxa"/>
            <w:shd w:val="clear" w:color="auto" w:fill="auto"/>
            <w:noWrap/>
            <w:vAlign w:val="bottom"/>
            <w:hideMark/>
          </w:tcPr>
          <w:p w14:paraId="72D4F88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4.997</w:t>
            </w:r>
          </w:p>
        </w:tc>
        <w:tc>
          <w:tcPr>
            <w:tcW w:w="1134" w:type="dxa"/>
            <w:shd w:val="clear" w:color="auto" w:fill="auto"/>
            <w:noWrap/>
            <w:vAlign w:val="bottom"/>
            <w:hideMark/>
          </w:tcPr>
          <w:p w14:paraId="6F50577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39913.64903</w:t>
            </w:r>
          </w:p>
        </w:tc>
      </w:tr>
      <w:tr w:rsidR="0009676B" w:rsidRPr="006E04D7" w14:paraId="50272B7A" w14:textId="77777777" w:rsidTr="0009676B">
        <w:trPr>
          <w:trHeight w:val="297"/>
        </w:trPr>
        <w:tc>
          <w:tcPr>
            <w:tcW w:w="648" w:type="dxa"/>
            <w:shd w:val="clear" w:color="auto" w:fill="auto"/>
            <w:noWrap/>
            <w:vAlign w:val="bottom"/>
            <w:hideMark/>
          </w:tcPr>
          <w:p w14:paraId="2BD5FAB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2002</w:t>
            </w:r>
          </w:p>
        </w:tc>
        <w:tc>
          <w:tcPr>
            <w:tcW w:w="765" w:type="dxa"/>
            <w:shd w:val="clear" w:color="auto" w:fill="auto"/>
            <w:noWrap/>
            <w:vAlign w:val="bottom"/>
            <w:hideMark/>
          </w:tcPr>
          <w:p w14:paraId="4AFF03F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0.9</w:t>
            </w:r>
          </w:p>
        </w:tc>
        <w:tc>
          <w:tcPr>
            <w:tcW w:w="850" w:type="dxa"/>
            <w:shd w:val="clear" w:color="auto" w:fill="auto"/>
            <w:noWrap/>
            <w:vAlign w:val="bottom"/>
            <w:hideMark/>
          </w:tcPr>
          <w:p w14:paraId="3448B06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1157.9042</w:t>
            </w:r>
          </w:p>
        </w:tc>
        <w:tc>
          <w:tcPr>
            <w:tcW w:w="993" w:type="dxa"/>
            <w:shd w:val="clear" w:color="auto" w:fill="auto"/>
            <w:noWrap/>
            <w:vAlign w:val="bottom"/>
            <w:hideMark/>
          </w:tcPr>
          <w:p w14:paraId="63A4B27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3234.105</w:t>
            </w:r>
          </w:p>
        </w:tc>
        <w:tc>
          <w:tcPr>
            <w:tcW w:w="992" w:type="dxa"/>
            <w:shd w:val="clear" w:color="auto" w:fill="auto"/>
            <w:noWrap/>
            <w:vAlign w:val="bottom"/>
            <w:hideMark/>
          </w:tcPr>
          <w:p w14:paraId="4060596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322.9</w:t>
            </w:r>
          </w:p>
        </w:tc>
        <w:tc>
          <w:tcPr>
            <w:tcW w:w="992" w:type="dxa"/>
            <w:shd w:val="clear" w:color="auto" w:fill="auto"/>
            <w:noWrap/>
            <w:vAlign w:val="bottom"/>
            <w:hideMark/>
          </w:tcPr>
          <w:p w14:paraId="4B527EC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34043.948</w:t>
            </w:r>
          </w:p>
        </w:tc>
        <w:tc>
          <w:tcPr>
            <w:tcW w:w="851" w:type="dxa"/>
            <w:shd w:val="clear" w:color="auto" w:fill="auto"/>
            <w:noWrap/>
            <w:vAlign w:val="bottom"/>
            <w:hideMark/>
          </w:tcPr>
          <w:p w14:paraId="36D6D1F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361.77081</w:t>
            </w:r>
          </w:p>
        </w:tc>
        <w:tc>
          <w:tcPr>
            <w:tcW w:w="850" w:type="dxa"/>
            <w:shd w:val="clear" w:color="auto" w:fill="auto"/>
            <w:noWrap/>
            <w:vAlign w:val="bottom"/>
            <w:hideMark/>
          </w:tcPr>
          <w:p w14:paraId="6A41CE9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515.279</w:t>
            </w:r>
          </w:p>
        </w:tc>
        <w:tc>
          <w:tcPr>
            <w:tcW w:w="851" w:type="dxa"/>
            <w:shd w:val="clear" w:color="auto" w:fill="auto"/>
            <w:noWrap/>
            <w:vAlign w:val="bottom"/>
            <w:hideMark/>
          </w:tcPr>
          <w:p w14:paraId="79A04DB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16.659</w:t>
            </w:r>
          </w:p>
        </w:tc>
        <w:tc>
          <w:tcPr>
            <w:tcW w:w="1134" w:type="dxa"/>
            <w:shd w:val="clear" w:color="auto" w:fill="auto"/>
            <w:noWrap/>
            <w:vAlign w:val="bottom"/>
            <w:hideMark/>
          </w:tcPr>
          <w:p w14:paraId="15D2B99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39653.46601</w:t>
            </w:r>
          </w:p>
        </w:tc>
      </w:tr>
      <w:tr w:rsidR="0009676B" w:rsidRPr="006E04D7" w14:paraId="7E957D9F" w14:textId="77777777" w:rsidTr="0009676B">
        <w:trPr>
          <w:trHeight w:val="297"/>
        </w:trPr>
        <w:tc>
          <w:tcPr>
            <w:tcW w:w="648" w:type="dxa"/>
            <w:shd w:val="clear" w:color="auto" w:fill="auto"/>
            <w:noWrap/>
            <w:vAlign w:val="bottom"/>
            <w:hideMark/>
          </w:tcPr>
          <w:p w14:paraId="09BBBBB1"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lastRenderedPageBreak/>
              <w:t>2003</w:t>
            </w:r>
          </w:p>
        </w:tc>
        <w:tc>
          <w:tcPr>
            <w:tcW w:w="765" w:type="dxa"/>
            <w:shd w:val="clear" w:color="auto" w:fill="auto"/>
            <w:noWrap/>
            <w:vAlign w:val="bottom"/>
            <w:hideMark/>
          </w:tcPr>
          <w:p w14:paraId="021C3D0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8.7</w:t>
            </w:r>
          </w:p>
        </w:tc>
        <w:tc>
          <w:tcPr>
            <w:tcW w:w="850" w:type="dxa"/>
            <w:shd w:val="clear" w:color="auto" w:fill="auto"/>
            <w:noWrap/>
            <w:vAlign w:val="bottom"/>
            <w:hideMark/>
          </w:tcPr>
          <w:p w14:paraId="105D490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1110.98866</w:t>
            </w:r>
          </w:p>
        </w:tc>
        <w:tc>
          <w:tcPr>
            <w:tcW w:w="993" w:type="dxa"/>
            <w:shd w:val="clear" w:color="auto" w:fill="auto"/>
            <w:noWrap/>
            <w:vAlign w:val="bottom"/>
            <w:hideMark/>
          </w:tcPr>
          <w:p w14:paraId="65C82A9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3483.8033</w:t>
            </w:r>
          </w:p>
        </w:tc>
        <w:tc>
          <w:tcPr>
            <w:tcW w:w="992" w:type="dxa"/>
            <w:shd w:val="clear" w:color="auto" w:fill="auto"/>
            <w:noWrap/>
            <w:vAlign w:val="bottom"/>
            <w:hideMark/>
          </w:tcPr>
          <w:p w14:paraId="4B172D3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178.06584</w:t>
            </w:r>
          </w:p>
        </w:tc>
        <w:tc>
          <w:tcPr>
            <w:tcW w:w="992" w:type="dxa"/>
            <w:shd w:val="clear" w:color="auto" w:fill="auto"/>
            <w:noWrap/>
            <w:vAlign w:val="bottom"/>
            <w:hideMark/>
          </w:tcPr>
          <w:p w14:paraId="532F481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37290.74168</w:t>
            </w:r>
          </w:p>
        </w:tc>
        <w:tc>
          <w:tcPr>
            <w:tcW w:w="851" w:type="dxa"/>
            <w:shd w:val="clear" w:color="auto" w:fill="auto"/>
            <w:noWrap/>
            <w:vAlign w:val="bottom"/>
            <w:hideMark/>
          </w:tcPr>
          <w:p w14:paraId="57ED666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293.35486</w:t>
            </w:r>
          </w:p>
        </w:tc>
        <w:tc>
          <w:tcPr>
            <w:tcW w:w="850" w:type="dxa"/>
            <w:shd w:val="clear" w:color="auto" w:fill="auto"/>
            <w:noWrap/>
            <w:vAlign w:val="bottom"/>
            <w:hideMark/>
          </w:tcPr>
          <w:p w14:paraId="497E8BA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220.646</w:t>
            </w:r>
          </w:p>
        </w:tc>
        <w:tc>
          <w:tcPr>
            <w:tcW w:w="851" w:type="dxa"/>
            <w:shd w:val="clear" w:color="auto" w:fill="auto"/>
            <w:noWrap/>
            <w:vAlign w:val="bottom"/>
            <w:hideMark/>
          </w:tcPr>
          <w:p w14:paraId="16BF9641"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19.441</w:t>
            </w:r>
          </w:p>
        </w:tc>
        <w:tc>
          <w:tcPr>
            <w:tcW w:w="1134" w:type="dxa"/>
            <w:shd w:val="clear" w:color="auto" w:fill="auto"/>
            <w:noWrap/>
            <w:vAlign w:val="bottom"/>
            <w:hideMark/>
          </w:tcPr>
          <w:p w14:paraId="4EF3EB4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42605.74136</w:t>
            </w:r>
          </w:p>
        </w:tc>
      </w:tr>
      <w:tr w:rsidR="0009676B" w:rsidRPr="006E04D7" w14:paraId="60D5896B" w14:textId="77777777" w:rsidTr="0009676B">
        <w:trPr>
          <w:trHeight w:val="297"/>
        </w:trPr>
        <w:tc>
          <w:tcPr>
            <w:tcW w:w="648" w:type="dxa"/>
            <w:shd w:val="clear" w:color="auto" w:fill="auto"/>
            <w:noWrap/>
            <w:vAlign w:val="bottom"/>
            <w:hideMark/>
          </w:tcPr>
          <w:p w14:paraId="4801288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2004</w:t>
            </w:r>
          </w:p>
        </w:tc>
        <w:tc>
          <w:tcPr>
            <w:tcW w:w="765" w:type="dxa"/>
            <w:shd w:val="clear" w:color="auto" w:fill="auto"/>
            <w:noWrap/>
            <w:vAlign w:val="bottom"/>
            <w:hideMark/>
          </w:tcPr>
          <w:p w14:paraId="6F7BE4D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16.89</w:t>
            </w:r>
          </w:p>
        </w:tc>
        <w:tc>
          <w:tcPr>
            <w:tcW w:w="850" w:type="dxa"/>
            <w:shd w:val="clear" w:color="auto" w:fill="auto"/>
            <w:noWrap/>
            <w:vAlign w:val="bottom"/>
            <w:hideMark/>
          </w:tcPr>
          <w:p w14:paraId="7F07996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1039.8373</w:t>
            </w:r>
          </w:p>
        </w:tc>
        <w:tc>
          <w:tcPr>
            <w:tcW w:w="993" w:type="dxa"/>
            <w:shd w:val="clear" w:color="auto" w:fill="auto"/>
            <w:noWrap/>
            <w:vAlign w:val="bottom"/>
            <w:hideMark/>
          </w:tcPr>
          <w:p w14:paraId="6194B10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3035.615</w:t>
            </w:r>
          </w:p>
        </w:tc>
        <w:tc>
          <w:tcPr>
            <w:tcW w:w="992" w:type="dxa"/>
            <w:shd w:val="clear" w:color="auto" w:fill="auto"/>
            <w:noWrap/>
            <w:vAlign w:val="bottom"/>
            <w:hideMark/>
          </w:tcPr>
          <w:p w14:paraId="205729D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186</w:t>
            </w:r>
          </w:p>
        </w:tc>
        <w:tc>
          <w:tcPr>
            <w:tcW w:w="992" w:type="dxa"/>
            <w:shd w:val="clear" w:color="auto" w:fill="auto"/>
            <w:noWrap/>
            <w:vAlign w:val="bottom"/>
            <w:hideMark/>
          </w:tcPr>
          <w:p w14:paraId="4AECD29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37869.342</w:t>
            </w:r>
          </w:p>
        </w:tc>
        <w:tc>
          <w:tcPr>
            <w:tcW w:w="851" w:type="dxa"/>
            <w:shd w:val="clear" w:color="auto" w:fill="auto"/>
            <w:noWrap/>
            <w:vAlign w:val="bottom"/>
            <w:hideMark/>
          </w:tcPr>
          <w:p w14:paraId="7A58524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285.5827</w:t>
            </w:r>
          </w:p>
        </w:tc>
        <w:tc>
          <w:tcPr>
            <w:tcW w:w="850" w:type="dxa"/>
            <w:shd w:val="clear" w:color="auto" w:fill="auto"/>
            <w:noWrap/>
            <w:vAlign w:val="bottom"/>
            <w:hideMark/>
          </w:tcPr>
          <w:p w14:paraId="295A7DE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154.223</w:t>
            </w:r>
          </w:p>
        </w:tc>
        <w:tc>
          <w:tcPr>
            <w:tcW w:w="851" w:type="dxa"/>
            <w:shd w:val="clear" w:color="auto" w:fill="auto"/>
            <w:noWrap/>
            <w:vAlign w:val="bottom"/>
            <w:hideMark/>
          </w:tcPr>
          <w:p w14:paraId="0F9D2BF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10.38</w:t>
            </w:r>
          </w:p>
        </w:tc>
        <w:tc>
          <w:tcPr>
            <w:tcW w:w="1134" w:type="dxa"/>
            <w:shd w:val="clear" w:color="auto" w:fill="auto"/>
            <w:noWrap/>
            <w:vAlign w:val="bottom"/>
            <w:hideMark/>
          </w:tcPr>
          <w:p w14:paraId="1BAD424F"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42597.87</w:t>
            </w:r>
          </w:p>
        </w:tc>
      </w:tr>
      <w:tr w:rsidR="0009676B" w:rsidRPr="006E04D7" w14:paraId="4749972C" w14:textId="77777777" w:rsidTr="0009676B">
        <w:trPr>
          <w:trHeight w:val="297"/>
        </w:trPr>
        <w:tc>
          <w:tcPr>
            <w:tcW w:w="648" w:type="dxa"/>
            <w:shd w:val="clear" w:color="auto" w:fill="auto"/>
            <w:noWrap/>
            <w:vAlign w:val="bottom"/>
            <w:hideMark/>
          </w:tcPr>
          <w:p w14:paraId="7B05BAF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2005</w:t>
            </w:r>
          </w:p>
        </w:tc>
        <w:tc>
          <w:tcPr>
            <w:tcW w:w="765" w:type="dxa"/>
            <w:shd w:val="clear" w:color="auto" w:fill="auto"/>
            <w:noWrap/>
            <w:vAlign w:val="bottom"/>
            <w:hideMark/>
          </w:tcPr>
          <w:p w14:paraId="25E2818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4.74</w:t>
            </w:r>
          </w:p>
        </w:tc>
        <w:tc>
          <w:tcPr>
            <w:tcW w:w="850" w:type="dxa"/>
            <w:shd w:val="clear" w:color="auto" w:fill="auto"/>
            <w:noWrap/>
            <w:vAlign w:val="bottom"/>
            <w:hideMark/>
          </w:tcPr>
          <w:p w14:paraId="7D90E6BF"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335.66982</w:t>
            </w:r>
          </w:p>
        </w:tc>
        <w:tc>
          <w:tcPr>
            <w:tcW w:w="993" w:type="dxa"/>
            <w:shd w:val="clear" w:color="auto" w:fill="auto"/>
            <w:noWrap/>
            <w:vAlign w:val="bottom"/>
            <w:hideMark/>
          </w:tcPr>
          <w:p w14:paraId="3AF1162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3426.815</w:t>
            </w:r>
          </w:p>
        </w:tc>
        <w:tc>
          <w:tcPr>
            <w:tcW w:w="992" w:type="dxa"/>
            <w:shd w:val="clear" w:color="auto" w:fill="auto"/>
            <w:noWrap/>
            <w:vAlign w:val="bottom"/>
            <w:hideMark/>
          </w:tcPr>
          <w:p w14:paraId="4DEB142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165.65</w:t>
            </w:r>
          </w:p>
        </w:tc>
        <w:tc>
          <w:tcPr>
            <w:tcW w:w="992" w:type="dxa"/>
            <w:shd w:val="clear" w:color="auto" w:fill="auto"/>
            <w:noWrap/>
            <w:vAlign w:val="bottom"/>
            <w:hideMark/>
          </w:tcPr>
          <w:p w14:paraId="4E711B6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36638.955</w:t>
            </w:r>
          </w:p>
        </w:tc>
        <w:tc>
          <w:tcPr>
            <w:tcW w:w="851" w:type="dxa"/>
            <w:shd w:val="clear" w:color="auto" w:fill="auto"/>
            <w:noWrap/>
            <w:vAlign w:val="bottom"/>
            <w:hideMark/>
          </w:tcPr>
          <w:p w14:paraId="6434DBD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283.79316</w:t>
            </w:r>
          </w:p>
        </w:tc>
        <w:tc>
          <w:tcPr>
            <w:tcW w:w="850" w:type="dxa"/>
            <w:shd w:val="clear" w:color="auto" w:fill="auto"/>
            <w:noWrap/>
            <w:vAlign w:val="bottom"/>
            <w:hideMark/>
          </w:tcPr>
          <w:p w14:paraId="5AE395E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111.842</w:t>
            </w:r>
          </w:p>
        </w:tc>
        <w:tc>
          <w:tcPr>
            <w:tcW w:w="851" w:type="dxa"/>
            <w:shd w:val="clear" w:color="auto" w:fill="auto"/>
            <w:noWrap/>
            <w:vAlign w:val="bottom"/>
            <w:hideMark/>
          </w:tcPr>
          <w:p w14:paraId="67F9EED1"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9.044</w:t>
            </w:r>
          </w:p>
        </w:tc>
        <w:tc>
          <w:tcPr>
            <w:tcW w:w="1134" w:type="dxa"/>
            <w:shd w:val="clear" w:color="auto" w:fill="auto"/>
            <w:noWrap/>
            <w:vAlign w:val="bottom"/>
            <w:hideMark/>
          </w:tcPr>
          <w:p w14:paraId="7A4BC17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40976.50899</w:t>
            </w:r>
          </w:p>
        </w:tc>
      </w:tr>
      <w:tr w:rsidR="0009676B" w:rsidRPr="006E04D7" w14:paraId="0F9C61E0" w14:textId="77777777" w:rsidTr="0009676B">
        <w:trPr>
          <w:trHeight w:val="297"/>
        </w:trPr>
        <w:tc>
          <w:tcPr>
            <w:tcW w:w="648" w:type="dxa"/>
            <w:shd w:val="clear" w:color="auto" w:fill="auto"/>
            <w:noWrap/>
            <w:vAlign w:val="bottom"/>
            <w:hideMark/>
          </w:tcPr>
          <w:p w14:paraId="6D393B9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2006</w:t>
            </w:r>
          </w:p>
        </w:tc>
        <w:tc>
          <w:tcPr>
            <w:tcW w:w="765" w:type="dxa"/>
            <w:shd w:val="clear" w:color="auto" w:fill="auto"/>
            <w:noWrap/>
            <w:vAlign w:val="bottom"/>
            <w:hideMark/>
          </w:tcPr>
          <w:p w14:paraId="47AFEA1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p>
        </w:tc>
        <w:tc>
          <w:tcPr>
            <w:tcW w:w="850" w:type="dxa"/>
            <w:shd w:val="clear" w:color="auto" w:fill="auto"/>
            <w:noWrap/>
            <w:vAlign w:val="bottom"/>
            <w:hideMark/>
          </w:tcPr>
          <w:p w14:paraId="42B382B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337.08995</w:t>
            </w:r>
          </w:p>
        </w:tc>
        <w:tc>
          <w:tcPr>
            <w:tcW w:w="993" w:type="dxa"/>
            <w:shd w:val="clear" w:color="auto" w:fill="auto"/>
            <w:noWrap/>
            <w:vAlign w:val="bottom"/>
            <w:hideMark/>
          </w:tcPr>
          <w:p w14:paraId="7BA9851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3407.5795</w:t>
            </w:r>
          </w:p>
        </w:tc>
        <w:tc>
          <w:tcPr>
            <w:tcW w:w="992" w:type="dxa"/>
            <w:shd w:val="clear" w:color="auto" w:fill="auto"/>
            <w:noWrap/>
            <w:vAlign w:val="bottom"/>
            <w:hideMark/>
          </w:tcPr>
          <w:p w14:paraId="31636D1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75</w:t>
            </w:r>
          </w:p>
        </w:tc>
        <w:tc>
          <w:tcPr>
            <w:tcW w:w="992" w:type="dxa"/>
            <w:shd w:val="clear" w:color="auto" w:fill="auto"/>
            <w:noWrap/>
            <w:vAlign w:val="bottom"/>
            <w:hideMark/>
          </w:tcPr>
          <w:p w14:paraId="4E5CEBF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38362.80268</w:t>
            </w:r>
          </w:p>
        </w:tc>
        <w:tc>
          <w:tcPr>
            <w:tcW w:w="851" w:type="dxa"/>
            <w:shd w:val="clear" w:color="auto" w:fill="auto"/>
            <w:noWrap/>
            <w:vAlign w:val="bottom"/>
            <w:hideMark/>
          </w:tcPr>
          <w:p w14:paraId="5DD4353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157.25086</w:t>
            </w:r>
          </w:p>
        </w:tc>
        <w:tc>
          <w:tcPr>
            <w:tcW w:w="850" w:type="dxa"/>
            <w:shd w:val="clear" w:color="auto" w:fill="auto"/>
            <w:noWrap/>
            <w:vAlign w:val="bottom"/>
            <w:hideMark/>
          </w:tcPr>
          <w:p w14:paraId="3109A54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125.315</w:t>
            </w:r>
          </w:p>
        </w:tc>
        <w:tc>
          <w:tcPr>
            <w:tcW w:w="851" w:type="dxa"/>
            <w:shd w:val="clear" w:color="auto" w:fill="auto"/>
            <w:noWrap/>
            <w:vAlign w:val="bottom"/>
            <w:hideMark/>
          </w:tcPr>
          <w:p w14:paraId="5A16F7D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6.34</w:t>
            </w:r>
          </w:p>
        </w:tc>
        <w:tc>
          <w:tcPr>
            <w:tcW w:w="1134" w:type="dxa"/>
            <w:shd w:val="clear" w:color="auto" w:fill="auto"/>
            <w:noWrap/>
            <w:vAlign w:val="bottom"/>
            <w:hideMark/>
          </w:tcPr>
          <w:p w14:paraId="3E2E41B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42471.378</w:t>
            </w:r>
          </w:p>
        </w:tc>
      </w:tr>
      <w:tr w:rsidR="0009676B" w:rsidRPr="006E04D7" w14:paraId="7D4DDD95" w14:textId="77777777" w:rsidTr="0009676B">
        <w:trPr>
          <w:trHeight w:val="297"/>
        </w:trPr>
        <w:tc>
          <w:tcPr>
            <w:tcW w:w="648" w:type="dxa"/>
            <w:shd w:val="clear" w:color="auto" w:fill="auto"/>
            <w:noWrap/>
            <w:vAlign w:val="bottom"/>
            <w:hideMark/>
          </w:tcPr>
          <w:p w14:paraId="7D63980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2007</w:t>
            </w:r>
          </w:p>
        </w:tc>
        <w:tc>
          <w:tcPr>
            <w:tcW w:w="765" w:type="dxa"/>
            <w:shd w:val="clear" w:color="auto" w:fill="auto"/>
            <w:noWrap/>
            <w:vAlign w:val="bottom"/>
            <w:hideMark/>
          </w:tcPr>
          <w:p w14:paraId="70CC339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p>
        </w:tc>
        <w:tc>
          <w:tcPr>
            <w:tcW w:w="850" w:type="dxa"/>
            <w:shd w:val="clear" w:color="auto" w:fill="auto"/>
            <w:noWrap/>
            <w:vAlign w:val="bottom"/>
            <w:hideMark/>
          </w:tcPr>
          <w:p w14:paraId="64E3E2D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74.503</w:t>
            </w:r>
          </w:p>
        </w:tc>
        <w:tc>
          <w:tcPr>
            <w:tcW w:w="993" w:type="dxa"/>
            <w:shd w:val="clear" w:color="auto" w:fill="auto"/>
            <w:noWrap/>
            <w:vAlign w:val="bottom"/>
            <w:hideMark/>
          </w:tcPr>
          <w:p w14:paraId="158190B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3269.14</w:t>
            </w:r>
          </w:p>
        </w:tc>
        <w:tc>
          <w:tcPr>
            <w:tcW w:w="992" w:type="dxa"/>
            <w:shd w:val="clear" w:color="auto" w:fill="auto"/>
            <w:noWrap/>
            <w:vAlign w:val="bottom"/>
            <w:hideMark/>
          </w:tcPr>
          <w:p w14:paraId="2698C08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85</w:t>
            </w:r>
          </w:p>
        </w:tc>
        <w:tc>
          <w:tcPr>
            <w:tcW w:w="992" w:type="dxa"/>
            <w:shd w:val="clear" w:color="auto" w:fill="auto"/>
            <w:noWrap/>
            <w:vAlign w:val="bottom"/>
            <w:hideMark/>
          </w:tcPr>
          <w:p w14:paraId="4D1FAA6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48994.28702</w:t>
            </w:r>
          </w:p>
        </w:tc>
        <w:tc>
          <w:tcPr>
            <w:tcW w:w="851" w:type="dxa"/>
            <w:shd w:val="clear" w:color="auto" w:fill="auto"/>
            <w:noWrap/>
            <w:vAlign w:val="bottom"/>
            <w:hideMark/>
          </w:tcPr>
          <w:p w14:paraId="52DA033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42.86208</w:t>
            </w:r>
          </w:p>
        </w:tc>
        <w:tc>
          <w:tcPr>
            <w:tcW w:w="850" w:type="dxa"/>
            <w:shd w:val="clear" w:color="auto" w:fill="auto"/>
            <w:noWrap/>
            <w:vAlign w:val="bottom"/>
            <w:hideMark/>
          </w:tcPr>
          <w:p w14:paraId="10B968B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93.054</w:t>
            </w:r>
          </w:p>
        </w:tc>
        <w:tc>
          <w:tcPr>
            <w:tcW w:w="851" w:type="dxa"/>
            <w:shd w:val="clear" w:color="auto" w:fill="auto"/>
            <w:noWrap/>
            <w:vAlign w:val="bottom"/>
            <w:hideMark/>
          </w:tcPr>
          <w:p w14:paraId="33F2D5E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w:t>
            </w:r>
          </w:p>
        </w:tc>
        <w:tc>
          <w:tcPr>
            <w:tcW w:w="1134" w:type="dxa"/>
            <w:shd w:val="clear" w:color="auto" w:fill="auto"/>
            <w:noWrap/>
            <w:vAlign w:val="bottom"/>
            <w:hideMark/>
          </w:tcPr>
          <w:p w14:paraId="0604B2D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52558.8461</w:t>
            </w:r>
          </w:p>
        </w:tc>
      </w:tr>
      <w:tr w:rsidR="0009676B" w:rsidRPr="006E04D7" w14:paraId="39C5D91A" w14:textId="77777777" w:rsidTr="0009676B">
        <w:trPr>
          <w:trHeight w:val="297"/>
        </w:trPr>
        <w:tc>
          <w:tcPr>
            <w:tcW w:w="648" w:type="dxa"/>
            <w:shd w:val="clear" w:color="auto" w:fill="auto"/>
            <w:noWrap/>
            <w:vAlign w:val="bottom"/>
            <w:hideMark/>
          </w:tcPr>
          <w:p w14:paraId="2F3AAA8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2008</w:t>
            </w:r>
          </w:p>
        </w:tc>
        <w:tc>
          <w:tcPr>
            <w:tcW w:w="765" w:type="dxa"/>
            <w:shd w:val="clear" w:color="auto" w:fill="auto"/>
            <w:noWrap/>
            <w:vAlign w:val="bottom"/>
            <w:hideMark/>
          </w:tcPr>
          <w:p w14:paraId="78AC80D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p>
        </w:tc>
        <w:tc>
          <w:tcPr>
            <w:tcW w:w="850" w:type="dxa"/>
            <w:shd w:val="clear" w:color="auto" w:fill="auto"/>
            <w:noWrap/>
            <w:vAlign w:val="bottom"/>
            <w:hideMark/>
          </w:tcPr>
          <w:p w14:paraId="0CD8823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132.47302</w:t>
            </w:r>
          </w:p>
        </w:tc>
        <w:tc>
          <w:tcPr>
            <w:tcW w:w="993" w:type="dxa"/>
            <w:shd w:val="clear" w:color="auto" w:fill="auto"/>
            <w:noWrap/>
            <w:vAlign w:val="bottom"/>
            <w:hideMark/>
          </w:tcPr>
          <w:p w14:paraId="690943F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2372.4315</w:t>
            </w:r>
          </w:p>
        </w:tc>
        <w:tc>
          <w:tcPr>
            <w:tcW w:w="992" w:type="dxa"/>
            <w:shd w:val="clear" w:color="auto" w:fill="auto"/>
            <w:noWrap/>
            <w:vAlign w:val="bottom"/>
            <w:hideMark/>
          </w:tcPr>
          <w:p w14:paraId="238214F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w:t>
            </w:r>
          </w:p>
        </w:tc>
        <w:tc>
          <w:tcPr>
            <w:tcW w:w="992" w:type="dxa"/>
            <w:shd w:val="clear" w:color="auto" w:fill="auto"/>
            <w:noWrap/>
            <w:vAlign w:val="bottom"/>
            <w:hideMark/>
          </w:tcPr>
          <w:p w14:paraId="506BB361"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13540.29013</w:t>
            </w:r>
          </w:p>
        </w:tc>
        <w:tc>
          <w:tcPr>
            <w:tcW w:w="851" w:type="dxa"/>
            <w:shd w:val="clear" w:color="auto" w:fill="auto"/>
            <w:noWrap/>
            <w:vAlign w:val="bottom"/>
            <w:hideMark/>
          </w:tcPr>
          <w:p w14:paraId="4ECD740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16.583</w:t>
            </w:r>
          </w:p>
        </w:tc>
        <w:tc>
          <w:tcPr>
            <w:tcW w:w="850" w:type="dxa"/>
            <w:shd w:val="clear" w:color="auto" w:fill="auto"/>
            <w:noWrap/>
            <w:vAlign w:val="bottom"/>
            <w:hideMark/>
          </w:tcPr>
          <w:p w14:paraId="3AE9A1B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151.562</w:t>
            </w:r>
          </w:p>
        </w:tc>
        <w:tc>
          <w:tcPr>
            <w:tcW w:w="851" w:type="dxa"/>
            <w:shd w:val="clear" w:color="auto" w:fill="auto"/>
            <w:noWrap/>
            <w:vAlign w:val="bottom"/>
            <w:hideMark/>
          </w:tcPr>
          <w:p w14:paraId="2FEE9E0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w:t>
            </w:r>
          </w:p>
        </w:tc>
        <w:tc>
          <w:tcPr>
            <w:tcW w:w="1134" w:type="dxa"/>
            <w:shd w:val="clear" w:color="auto" w:fill="auto"/>
            <w:noWrap/>
            <w:vAlign w:val="bottom"/>
            <w:hideMark/>
          </w:tcPr>
          <w:p w14:paraId="703198F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16213.33966</w:t>
            </w:r>
          </w:p>
        </w:tc>
      </w:tr>
      <w:tr w:rsidR="0009676B" w:rsidRPr="006E04D7" w14:paraId="3F4EDC52" w14:textId="77777777" w:rsidTr="0009676B">
        <w:trPr>
          <w:trHeight w:val="297"/>
        </w:trPr>
        <w:tc>
          <w:tcPr>
            <w:tcW w:w="648" w:type="dxa"/>
            <w:shd w:val="clear" w:color="auto" w:fill="auto"/>
            <w:noWrap/>
            <w:vAlign w:val="bottom"/>
            <w:hideMark/>
          </w:tcPr>
          <w:p w14:paraId="76269C1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2009</w:t>
            </w:r>
          </w:p>
        </w:tc>
        <w:tc>
          <w:tcPr>
            <w:tcW w:w="765" w:type="dxa"/>
            <w:shd w:val="clear" w:color="auto" w:fill="auto"/>
            <w:noWrap/>
            <w:vAlign w:val="bottom"/>
            <w:hideMark/>
          </w:tcPr>
          <w:p w14:paraId="423E78B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38.14</w:t>
            </w:r>
          </w:p>
        </w:tc>
        <w:tc>
          <w:tcPr>
            <w:tcW w:w="850" w:type="dxa"/>
            <w:shd w:val="clear" w:color="auto" w:fill="auto"/>
            <w:noWrap/>
            <w:vAlign w:val="bottom"/>
            <w:hideMark/>
          </w:tcPr>
          <w:p w14:paraId="71AAE3F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101.42823</w:t>
            </w:r>
          </w:p>
        </w:tc>
        <w:tc>
          <w:tcPr>
            <w:tcW w:w="993" w:type="dxa"/>
            <w:shd w:val="clear" w:color="auto" w:fill="auto"/>
            <w:noWrap/>
            <w:vAlign w:val="bottom"/>
            <w:hideMark/>
          </w:tcPr>
          <w:p w14:paraId="43F87DD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1344.0362</w:t>
            </w:r>
          </w:p>
        </w:tc>
        <w:tc>
          <w:tcPr>
            <w:tcW w:w="992" w:type="dxa"/>
            <w:shd w:val="clear" w:color="auto" w:fill="auto"/>
            <w:noWrap/>
            <w:vAlign w:val="bottom"/>
            <w:hideMark/>
          </w:tcPr>
          <w:p w14:paraId="2F010F9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w:t>
            </w:r>
          </w:p>
        </w:tc>
        <w:tc>
          <w:tcPr>
            <w:tcW w:w="992" w:type="dxa"/>
            <w:shd w:val="clear" w:color="auto" w:fill="auto"/>
            <w:noWrap/>
            <w:vAlign w:val="bottom"/>
            <w:hideMark/>
          </w:tcPr>
          <w:p w14:paraId="56C06701"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11447.60899</w:t>
            </w:r>
          </w:p>
        </w:tc>
        <w:tc>
          <w:tcPr>
            <w:tcW w:w="851" w:type="dxa"/>
            <w:shd w:val="clear" w:color="auto" w:fill="auto"/>
            <w:noWrap/>
            <w:vAlign w:val="bottom"/>
            <w:hideMark/>
          </w:tcPr>
          <w:p w14:paraId="2E3C65F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58.2058</w:t>
            </w:r>
          </w:p>
        </w:tc>
        <w:tc>
          <w:tcPr>
            <w:tcW w:w="850" w:type="dxa"/>
            <w:shd w:val="clear" w:color="auto" w:fill="auto"/>
            <w:noWrap/>
            <w:vAlign w:val="bottom"/>
            <w:hideMark/>
          </w:tcPr>
          <w:p w14:paraId="5E20449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143.9405</w:t>
            </w:r>
          </w:p>
        </w:tc>
        <w:tc>
          <w:tcPr>
            <w:tcW w:w="851" w:type="dxa"/>
            <w:shd w:val="clear" w:color="auto" w:fill="auto"/>
            <w:noWrap/>
            <w:vAlign w:val="bottom"/>
            <w:hideMark/>
          </w:tcPr>
          <w:p w14:paraId="16F5285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w:t>
            </w:r>
          </w:p>
        </w:tc>
        <w:tc>
          <w:tcPr>
            <w:tcW w:w="1134" w:type="dxa"/>
            <w:shd w:val="clear" w:color="auto" w:fill="auto"/>
            <w:noWrap/>
            <w:vAlign w:val="bottom"/>
            <w:hideMark/>
          </w:tcPr>
          <w:p w14:paraId="561A056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13133.35975</w:t>
            </w:r>
          </w:p>
        </w:tc>
      </w:tr>
      <w:tr w:rsidR="0009676B" w:rsidRPr="006E04D7" w14:paraId="279B989E" w14:textId="77777777" w:rsidTr="0009676B">
        <w:trPr>
          <w:trHeight w:val="297"/>
        </w:trPr>
        <w:tc>
          <w:tcPr>
            <w:tcW w:w="648" w:type="dxa"/>
            <w:shd w:val="clear" w:color="auto" w:fill="auto"/>
            <w:noWrap/>
            <w:vAlign w:val="bottom"/>
            <w:hideMark/>
          </w:tcPr>
          <w:p w14:paraId="4F6718B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2010</w:t>
            </w:r>
          </w:p>
        </w:tc>
        <w:tc>
          <w:tcPr>
            <w:tcW w:w="765" w:type="dxa"/>
            <w:shd w:val="clear" w:color="auto" w:fill="auto"/>
            <w:noWrap/>
            <w:vAlign w:val="bottom"/>
            <w:hideMark/>
          </w:tcPr>
          <w:p w14:paraId="412B358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w:t>
            </w:r>
          </w:p>
        </w:tc>
        <w:tc>
          <w:tcPr>
            <w:tcW w:w="850" w:type="dxa"/>
            <w:shd w:val="clear" w:color="auto" w:fill="auto"/>
            <w:noWrap/>
            <w:vAlign w:val="bottom"/>
            <w:hideMark/>
          </w:tcPr>
          <w:p w14:paraId="31B0BC0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260.0408</w:t>
            </w:r>
          </w:p>
        </w:tc>
        <w:tc>
          <w:tcPr>
            <w:tcW w:w="993" w:type="dxa"/>
            <w:shd w:val="clear" w:color="auto" w:fill="auto"/>
            <w:noWrap/>
            <w:vAlign w:val="bottom"/>
            <w:hideMark/>
          </w:tcPr>
          <w:p w14:paraId="642B3A4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1242.1029</w:t>
            </w:r>
          </w:p>
        </w:tc>
        <w:tc>
          <w:tcPr>
            <w:tcW w:w="992" w:type="dxa"/>
            <w:shd w:val="clear" w:color="auto" w:fill="auto"/>
            <w:noWrap/>
            <w:vAlign w:val="bottom"/>
            <w:hideMark/>
          </w:tcPr>
          <w:p w14:paraId="6967A3C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1.1686</w:t>
            </w:r>
          </w:p>
        </w:tc>
        <w:tc>
          <w:tcPr>
            <w:tcW w:w="992" w:type="dxa"/>
            <w:shd w:val="clear" w:color="auto" w:fill="auto"/>
            <w:noWrap/>
            <w:vAlign w:val="bottom"/>
            <w:hideMark/>
          </w:tcPr>
          <w:p w14:paraId="480348B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4985.56019</w:t>
            </w:r>
          </w:p>
        </w:tc>
        <w:tc>
          <w:tcPr>
            <w:tcW w:w="851" w:type="dxa"/>
            <w:shd w:val="clear" w:color="auto" w:fill="auto"/>
            <w:noWrap/>
            <w:vAlign w:val="bottom"/>
            <w:hideMark/>
          </w:tcPr>
          <w:p w14:paraId="410A31A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188.06576</w:t>
            </w:r>
          </w:p>
        </w:tc>
        <w:tc>
          <w:tcPr>
            <w:tcW w:w="850" w:type="dxa"/>
            <w:shd w:val="clear" w:color="auto" w:fill="auto"/>
            <w:noWrap/>
            <w:vAlign w:val="bottom"/>
            <w:hideMark/>
          </w:tcPr>
          <w:p w14:paraId="3F1FE04F"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280.8347</w:t>
            </w:r>
          </w:p>
        </w:tc>
        <w:tc>
          <w:tcPr>
            <w:tcW w:w="851" w:type="dxa"/>
            <w:shd w:val="clear" w:color="auto" w:fill="auto"/>
            <w:noWrap/>
            <w:vAlign w:val="bottom"/>
            <w:hideMark/>
          </w:tcPr>
          <w:p w14:paraId="44ED0E3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w:t>
            </w:r>
          </w:p>
        </w:tc>
        <w:tc>
          <w:tcPr>
            <w:tcW w:w="1134" w:type="dxa"/>
            <w:shd w:val="clear" w:color="auto" w:fill="auto"/>
            <w:noWrap/>
            <w:vAlign w:val="bottom"/>
            <w:hideMark/>
          </w:tcPr>
          <w:p w14:paraId="554733D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6958.77299</w:t>
            </w:r>
          </w:p>
        </w:tc>
      </w:tr>
      <w:tr w:rsidR="0009676B" w:rsidRPr="006E04D7" w14:paraId="564CD9F3" w14:textId="77777777" w:rsidTr="0009676B">
        <w:trPr>
          <w:trHeight w:val="297"/>
        </w:trPr>
        <w:tc>
          <w:tcPr>
            <w:tcW w:w="648" w:type="dxa"/>
            <w:shd w:val="clear" w:color="auto" w:fill="auto"/>
            <w:noWrap/>
            <w:vAlign w:val="bottom"/>
            <w:hideMark/>
          </w:tcPr>
          <w:p w14:paraId="173AA80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2011</w:t>
            </w:r>
          </w:p>
        </w:tc>
        <w:tc>
          <w:tcPr>
            <w:tcW w:w="765" w:type="dxa"/>
            <w:shd w:val="clear" w:color="auto" w:fill="auto"/>
            <w:noWrap/>
            <w:vAlign w:val="bottom"/>
            <w:hideMark/>
          </w:tcPr>
          <w:p w14:paraId="404C40E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p>
        </w:tc>
        <w:tc>
          <w:tcPr>
            <w:tcW w:w="850" w:type="dxa"/>
            <w:shd w:val="clear" w:color="auto" w:fill="auto"/>
            <w:noWrap/>
            <w:vAlign w:val="bottom"/>
            <w:hideMark/>
          </w:tcPr>
          <w:p w14:paraId="486382A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276.37543</w:t>
            </w:r>
          </w:p>
        </w:tc>
        <w:tc>
          <w:tcPr>
            <w:tcW w:w="993" w:type="dxa"/>
            <w:shd w:val="clear" w:color="auto" w:fill="auto"/>
            <w:noWrap/>
            <w:vAlign w:val="bottom"/>
            <w:hideMark/>
          </w:tcPr>
          <w:p w14:paraId="2C9880EF"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961.81902</w:t>
            </w:r>
          </w:p>
        </w:tc>
        <w:tc>
          <w:tcPr>
            <w:tcW w:w="992" w:type="dxa"/>
            <w:shd w:val="clear" w:color="auto" w:fill="auto"/>
            <w:noWrap/>
            <w:vAlign w:val="bottom"/>
            <w:hideMark/>
          </w:tcPr>
          <w:p w14:paraId="71972E1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0.79162</w:t>
            </w:r>
          </w:p>
        </w:tc>
        <w:tc>
          <w:tcPr>
            <w:tcW w:w="992" w:type="dxa"/>
            <w:shd w:val="clear" w:color="auto" w:fill="auto"/>
            <w:noWrap/>
            <w:vAlign w:val="bottom"/>
            <w:hideMark/>
          </w:tcPr>
          <w:p w14:paraId="4FD0C77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4306.07363</w:t>
            </w:r>
          </w:p>
        </w:tc>
        <w:tc>
          <w:tcPr>
            <w:tcW w:w="851" w:type="dxa"/>
            <w:shd w:val="clear" w:color="auto" w:fill="auto"/>
            <w:noWrap/>
            <w:vAlign w:val="bottom"/>
            <w:hideMark/>
          </w:tcPr>
          <w:p w14:paraId="1781955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80.0222</w:t>
            </w:r>
          </w:p>
        </w:tc>
        <w:tc>
          <w:tcPr>
            <w:tcW w:w="850" w:type="dxa"/>
            <w:shd w:val="clear" w:color="auto" w:fill="auto"/>
            <w:noWrap/>
            <w:vAlign w:val="bottom"/>
            <w:hideMark/>
          </w:tcPr>
          <w:p w14:paraId="614A4A3F"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164.7472</w:t>
            </w:r>
          </w:p>
        </w:tc>
        <w:tc>
          <w:tcPr>
            <w:tcW w:w="851" w:type="dxa"/>
            <w:shd w:val="clear" w:color="auto" w:fill="auto"/>
            <w:noWrap/>
            <w:vAlign w:val="bottom"/>
            <w:hideMark/>
          </w:tcPr>
          <w:p w14:paraId="7A0F3C7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w:t>
            </w:r>
          </w:p>
        </w:tc>
        <w:tc>
          <w:tcPr>
            <w:tcW w:w="1134" w:type="dxa"/>
            <w:shd w:val="clear" w:color="auto" w:fill="auto"/>
            <w:noWrap/>
            <w:vAlign w:val="bottom"/>
            <w:hideMark/>
          </w:tcPr>
          <w:p w14:paraId="358F521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5789.8291</w:t>
            </w:r>
          </w:p>
        </w:tc>
      </w:tr>
      <w:tr w:rsidR="0009676B" w:rsidRPr="006E04D7" w14:paraId="12C94700" w14:textId="77777777" w:rsidTr="0009676B">
        <w:trPr>
          <w:trHeight w:val="297"/>
        </w:trPr>
        <w:tc>
          <w:tcPr>
            <w:tcW w:w="648" w:type="dxa"/>
            <w:shd w:val="clear" w:color="auto" w:fill="auto"/>
            <w:noWrap/>
            <w:vAlign w:val="bottom"/>
            <w:hideMark/>
          </w:tcPr>
          <w:p w14:paraId="5D5235D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2012</w:t>
            </w:r>
          </w:p>
        </w:tc>
        <w:tc>
          <w:tcPr>
            <w:tcW w:w="765" w:type="dxa"/>
            <w:shd w:val="clear" w:color="auto" w:fill="auto"/>
            <w:noWrap/>
            <w:vAlign w:val="bottom"/>
            <w:hideMark/>
          </w:tcPr>
          <w:p w14:paraId="35E7540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1.86232</w:t>
            </w:r>
          </w:p>
        </w:tc>
        <w:tc>
          <w:tcPr>
            <w:tcW w:w="850" w:type="dxa"/>
            <w:shd w:val="clear" w:color="auto" w:fill="auto"/>
            <w:noWrap/>
            <w:vAlign w:val="bottom"/>
            <w:hideMark/>
          </w:tcPr>
          <w:p w14:paraId="068FD78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194.22068</w:t>
            </w:r>
          </w:p>
        </w:tc>
        <w:tc>
          <w:tcPr>
            <w:tcW w:w="993" w:type="dxa"/>
            <w:shd w:val="clear" w:color="auto" w:fill="auto"/>
            <w:noWrap/>
            <w:vAlign w:val="bottom"/>
            <w:hideMark/>
          </w:tcPr>
          <w:p w14:paraId="574D26D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586.53275</w:t>
            </w:r>
          </w:p>
        </w:tc>
        <w:tc>
          <w:tcPr>
            <w:tcW w:w="992" w:type="dxa"/>
            <w:shd w:val="clear" w:color="auto" w:fill="auto"/>
            <w:noWrap/>
            <w:vAlign w:val="bottom"/>
            <w:hideMark/>
          </w:tcPr>
          <w:p w14:paraId="45D8188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1.1929</w:t>
            </w:r>
          </w:p>
        </w:tc>
        <w:tc>
          <w:tcPr>
            <w:tcW w:w="992" w:type="dxa"/>
            <w:shd w:val="clear" w:color="auto" w:fill="auto"/>
            <w:noWrap/>
            <w:vAlign w:val="bottom"/>
            <w:hideMark/>
          </w:tcPr>
          <w:p w14:paraId="0E3156F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6183.06638</w:t>
            </w:r>
          </w:p>
        </w:tc>
        <w:tc>
          <w:tcPr>
            <w:tcW w:w="851" w:type="dxa"/>
            <w:shd w:val="clear" w:color="auto" w:fill="auto"/>
            <w:noWrap/>
            <w:vAlign w:val="bottom"/>
            <w:hideMark/>
          </w:tcPr>
          <w:p w14:paraId="15E1575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7.565</w:t>
            </w:r>
          </w:p>
        </w:tc>
        <w:tc>
          <w:tcPr>
            <w:tcW w:w="850" w:type="dxa"/>
            <w:shd w:val="clear" w:color="auto" w:fill="auto"/>
            <w:noWrap/>
            <w:vAlign w:val="bottom"/>
            <w:hideMark/>
          </w:tcPr>
          <w:p w14:paraId="00E0346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125.2239</w:t>
            </w:r>
          </w:p>
        </w:tc>
        <w:tc>
          <w:tcPr>
            <w:tcW w:w="851" w:type="dxa"/>
            <w:shd w:val="clear" w:color="auto" w:fill="auto"/>
            <w:noWrap/>
            <w:vAlign w:val="bottom"/>
            <w:hideMark/>
          </w:tcPr>
          <w:p w14:paraId="3447ACD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w:t>
            </w:r>
          </w:p>
        </w:tc>
        <w:tc>
          <w:tcPr>
            <w:tcW w:w="1134" w:type="dxa"/>
            <w:shd w:val="clear" w:color="auto" w:fill="auto"/>
            <w:noWrap/>
            <w:vAlign w:val="bottom"/>
            <w:hideMark/>
          </w:tcPr>
          <w:p w14:paraId="3CBF526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7099.66393</w:t>
            </w:r>
          </w:p>
        </w:tc>
      </w:tr>
      <w:tr w:rsidR="0009676B" w:rsidRPr="006E04D7" w14:paraId="69AF2AF5" w14:textId="77777777" w:rsidTr="0009676B">
        <w:trPr>
          <w:trHeight w:val="297"/>
        </w:trPr>
        <w:tc>
          <w:tcPr>
            <w:tcW w:w="648" w:type="dxa"/>
            <w:shd w:val="clear" w:color="auto" w:fill="auto"/>
            <w:noWrap/>
            <w:vAlign w:val="bottom"/>
            <w:hideMark/>
          </w:tcPr>
          <w:p w14:paraId="4EB5735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2013</w:t>
            </w:r>
          </w:p>
        </w:tc>
        <w:tc>
          <w:tcPr>
            <w:tcW w:w="765" w:type="dxa"/>
            <w:shd w:val="clear" w:color="auto" w:fill="auto"/>
            <w:noWrap/>
            <w:vAlign w:val="bottom"/>
            <w:hideMark/>
          </w:tcPr>
          <w:p w14:paraId="2215934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2.00388</w:t>
            </w:r>
          </w:p>
        </w:tc>
        <w:tc>
          <w:tcPr>
            <w:tcW w:w="850" w:type="dxa"/>
            <w:shd w:val="clear" w:color="auto" w:fill="auto"/>
            <w:noWrap/>
            <w:vAlign w:val="bottom"/>
            <w:hideMark/>
          </w:tcPr>
          <w:p w14:paraId="30BF4AF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230.1534</w:t>
            </w:r>
          </w:p>
        </w:tc>
        <w:tc>
          <w:tcPr>
            <w:tcW w:w="993" w:type="dxa"/>
            <w:shd w:val="clear" w:color="auto" w:fill="auto"/>
            <w:noWrap/>
            <w:vAlign w:val="bottom"/>
            <w:hideMark/>
          </w:tcPr>
          <w:p w14:paraId="35AB55C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604.92084</w:t>
            </w:r>
          </w:p>
        </w:tc>
        <w:tc>
          <w:tcPr>
            <w:tcW w:w="992" w:type="dxa"/>
            <w:shd w:val="clear" w:color="auto" w:fill="auto"/>
            <w:noWrap/>
            <w:vAlign w:val="bottom"/>
            <w:hideMark/>
          </w:tcPr>
          <w:p w14:paraId="09064C5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2.371</w:t>
            </w:r>
          </w:p>
        </w:tc>
        <w:tc>
          <w:tcPr>
            <w:tcW w:w="992" w:type="dxa"/>
            <w:shd w:val="clear" w:color="auto" w:fill="auto"/>
            <w:noWrap/>
            <w:vAlign w:val="bottom"/>
            <w:hideMark/>
          </w:tcPr>
          <w:p w14:paraId="51AAB2E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7991.78073</w:t>
            </w:r>
          </w:p>
        </w:tc>
        <w:tc>
          <w:tcPr>
            <w:tcW w:w="851" w:type="dxa"/>
            <w:shd w:val="clear" w:color="auto" w:fill="auto"/>
            <w:noWrap/>
            <w:vAlign w:val="bottom"/>
            <w:hideMark/>
          </w:tcPr>
          <w:p w14:paraId="1C9DAB2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9.709</w:t>
            </w:r>
          </w:p>
        </w:tc>
        <w:tc>
          <w:tcPr>
            <w:tcW w:w="850" w:type="dxa"/>
            <w:shd w:val="clear" w:color="auto" w:fill="auto"/>
            <w:noWrap/>
            <w:vAlign w:val="bottom"/>
            <w:hideMark/>
          </w:tcPr>
          <w:p w14:paraId="67BB8DDF"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222.0025</w:t>
            </w:r>
          </w:p>
        </w:tc>
        <w:tc>
          <w:tcPr>
            <w:tcW w:w="851" w:type="dxa"/>
            <w:shd w:val="clear" w:color="auto" w:fill="auto"/>
            <w:noWrap/>
            <w:vAlign w:val="bottom"/>
            <w:hideMark/>
          </w:tcPr>
          <w:p w14:paraId="213E7F4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17.389</w:t>
            </w:r>
          </w:p>
        </w:tc>
        <w:tc>
          <w:tcPr>
            <w:tcW w:w="1134" w:type="dxa"/>
            <w:shd w:val="clear" w:color="auto" w:fill="auto"/>
            <w:noWrap/>
            <w:vAlign w:val="bottom"/>
            <w:hideMark/>
          </w:tcPr>
          <w:p w14:paraId="75A5836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9080.33035</w:t>
            </w:r>
          </w:p>
        </w:tc>
      </w:tr>
      <w:tr w:rsidR="0009676B" w:rsidRPr="006E04D7" w14:paraId="702E16F2" w14:textId="77777777" w:rsidTr="0009676B">
        <w:trPr>
          <w:trHeight w:val="297"/>
        </w:trPr>
        <w:tc>
          <w:tcPr>
            <w:tcW w:w="648" w:type="dxa"/>
            <w:shd w:val="clear" w:color="auto" w:fill="auto"/>
            <w:noWrap/>
            <w:vAlign w:val="bottom"/>
            <w:hideMark/>
          </w:tcPr>
          <w:p w14:paraId="000FF4B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2014</w:t>
            </w:r>
          </w:p>
        </w:tc>
        <w:tc>
          <w:tcPr>
            <w:tcW w:w="765" w:type="dxa"/>
            <w:shd w:val="clear" w:color="auto" w:fill="auto"/>
            <w:noWrap/>
            <w:vAlign w:val="bottom"/>
            <w:hideMark/>
          </w:tcPr>
          <w:p w14:paraId="7F2BBFAF"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w:t>
            </w:r>
          </w:p>
        </w:tc>
        <w:tc>
          <w:tcPr>
            <w:tcW w:w="850" w:type="dxa"/>
            <w:shd w:val="clear" w:color="auto" w:fill="auto"/>
            <w:noWrap/>
            <w:vAlign w:val="bottom"/>
            <w:hideMark/>
          </w:tcPr>
          <w:p w14:paraId="4C65870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278.0707</w:t>
            </w:r>
          </w:p>
        </w:tc>
        <w:tc>
          <w:tcPr>
            <w:tcW w:w="993" w:type="dxa"/>
            <w:shd w:val="clear" w:color="auto" w:fill="auto"/>
            <w:noWrap/>
            <w:vAlign w:val="bottom"/>
            <w:hideMark/>
          </w:tcPr>
          <w:p w14:paraId="6DFAC32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588.34165</w:t>
            </w:r>
          </w:p>
        </w:tc>
        <w:tc>
          <w:tcPr>
            <w:tcW w:w="992" w:type="dxa"/>
            <w:shd w:val="clear" w:color="auto" w:fill="auto"/>
            <w:noWrap/>
            <w:vAlign w:val="bottom"/>
            <w:hideMark/>
          </w:tcPr>
          <w:p w14:paraId="481EA42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1.4795</w:t>
            </w:r>
          </w:p>
        </w:tc>
        <w:tc>
          <w:tcPr>
            <w:tcW w:w="992" w:type="dxa"/>
            <w:shd w:val="clear" w:color="auto" w:fill="auto"/>
            <w:noWrap/>
            <w:vAlign w:val="bottom"/>
            <w:hideMark/>
          </w:tcPr>
          <w:p w14:paraId="5A8C9AD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8195.00947</w:t>
            </w:r>
          </w:p>
        </w:tc>
        <w:tc>
          <w:tcPr>
            <w:tcW w:w="851" w:type="dxa"/>
            <w:shd w:val="clear" w:color="auto" w:fill="auto"/>
            <w:noWrap/>
            <w:vAlign w:val="bottom"/>
            <w:hideMark/>
          </w:tcPr>
          <w:p w14:paraId="5F1C7A0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11.09436</w:t>
            </w:r>
          </w:p>
        </w:tc>
        <w:tc>
          <w:tcPr>
            <w:tcW w:w="850" w:type="dxa"/>
            <w:shd w:val="clear" w:color="auto" w:fill="auto"/>
            <w:noWrap/>
            <w:vAlign w:val="bottom"/>
            <w:hideMark/>
          </w:tcPr>
          <w:p w14:paraId="62813AA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231.7608</w:t>
            </w:r>
          </w:p>
        </w:tc>
        <w:tc>
          <w:tcPr>
            <w:tcW w:w="851" w:type="dxa"/>
            <w:shd w:val="clear" w:color="auto" w:fill="auto"/>
            <w:noWrap/>
            <w:vAlign w:val="bottom"/>
            <w:hideMark/>
          </w:tcPr>
          <w:p w14:paraId="12B4CF2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27.9416</w:t>
            </w:r>
          </w:p>
        </w:tc>
        <w:tc>
          <w:tcPr>
            <w:tcW w:w="1134" w:type="dxa"/>
            <w:shd w:val="clear" w:color="auto" w:fill="auto"/>
            <w:noWrap/>
            <w:vAlign w:val="bottom"/>
            <w:hideMark/>
          </w:tcPr>
          <w:p w14:paraId="3D7C9A0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9342.69808</w:t>
            </w:r>
          </w:p>
        </w:tc>
      </w:tr>
      <w:tr w:rsidR="0009676B" w:rsidRPr="006E04D7" w14:paraId="43912ED7" w14:textId="77777777" w:rsidTr="0009676B">
        <w:trPr>
          <w:trHeight w:val="297"/>
        </w:trPr>
        <w:tc>
          <w:tcPr>
            <w:tcW w:w="648" w:type="dxa"/>
            <w:shd w:val="clear" w:color="auto" w:fill="auto"/>
            <w:noWrap/>
            <w:vAlign w:val="bottom"/>
            <w:hideMark/>
          </w:tcPr>
          <w:p w14:paraId="33332D4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2015</w:t>
            </w:r>
          </w:p>
        </w:tc>
        <w:tc>
          <w:tcPr>
            <w:tcW w:w="765" w:type="dxa"/>
            <w:shd w:val="clear" w:color="auto" w:fill="auto"/>
            <w:noWrap/>
            <w:vAlign w:val="bottom"/>
            <w:hideMark/>
          </w:tcPr>
          <w:p w14:paraId="4D5D2E9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25.366</w:t>
            </w:r>
          </w:p>
        </w:tc>
        <w:tc>
          <w:tcPr>
            <w:tcW w:w="850" w:type="dxa"/>
            <w:shd w:val="clear" w:color="auto" w:fill="auto"/>
            <w:noWrap/>
            <w:vAlign w:val="bottom"/>
            <w:hideMark/>
          </w:tcPr>
          <w:p w14:paraId="0AD17EB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347.84794</w:t>
            </w:r>
          </w:p>
        </w:tc>
        <w:tc>
          <w:tcPr>
            <w:tcW w:w="993" w:type="dxa"/>
            <w:shd w:val="clear" w:color="auto" w:fill="auto"/>
            <w:noWrap/>
            <w:vAlign w:val="bottom"/>
            <w:hideMark/>
          </w:tcPr>
          <w:p w14:paraId="21F647B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784.33573</w:t>
            </w:r>
          </w:p>
        </w:tc>
        <w:tc>
          <w:tcPr>
            <w:tcW w:w="992" w:type="dxa"/>
            <w:shd w:val="clear" w:color="auto" w:fill="auto"/>
            <w:noWrap/>
            <w:vAlign w:val="bottom"/>
            <w:hideMark/>
          </w:tcPr>
          <w:p w14:paraId="0029CAD1"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0.887</w:t>
            </w:r>
          </w:p>
        </w:tc>
        <w:tc>
          <w:tcPr>
            <w:tcW w:w="992" w:type="dxa"/>
            <w:shd w:val="clear" w:color="auto" w:fill="auto"/>
            <w:noWrap/>
            <w:vAlign w:val="bottom"/>
            <w:hideMark/>
          </w:tcPr>
          <w:p w14:paraId="5E56622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9994.21897</w:t>
            </w:r>
          </w:p>
        </w:tc>
        <w:tc>
          <w:tcPr>
            <w:tcW w:w="851" w:type="dxa"/>
            <w:shd w:val="clear" w:color="auto" w:fill="auto"/>
            <w:noWrap/>
            <w:vAlign w:val="bottom"/>
            <w:hideMark/>
          </w:tcPr>
          <w:p w14:paraId="3300752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12.80328</w:t>
            </w:r>
          </w:p>
        </w:tc>
        <w:tc>
          <w:tcPr>
            <w:tcW w:w="850" w:type="dxa"/>
            <w:shd w:val="clear" w:color="auto" w:fill="auto"/>
            <w:noWrap/>
            <w:vAlign w:val="bottom"/>
            <w:hideMark/>
          </w:tcPr>
          <w:p w14:paraId="339AE1C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192.0167</w:t>
            </w:r>
          </w:p>
        </w:tc>
        <w:tc>
          <w:tcPr>
            <w:tcW w:w="851" w:type="dxa"/>
            <w:shd w:val="clear" w:color="auto" w:fill="auto"/>
            <w:noWrap/>
            <w:vAlign w:val="bottom"/>
            <w:hideMark/>
          </w:tcPr>
          <w:p w14:paraId="57D4B19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1.852</w:t>
            </w:r>
          </w:p>
        </w:tc>
        <w:tc>
          <w:tcPr>
            <w:tcW w:w="1134" w:type="dxa"/>
            <w:shd w:val="clear" w:color="auto" w:fill="auto"/>
            <w:noWrap/>
            <w:vAlign w:val="bottom"/>
            <w:hideMark/>
          </w:tcPr>
          <w:p w14:paraId="15ADB1F8"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11359.3276</w:t>
            </w:r>
          </w:p>
        </w:tc>
      </w:tr>
      <w:tr w:rsidR="0009676B" w:rsidRPr="006E04D7" w14:paraId="32354E72" w14:textId="77777777" w:rsidTr="0009676B">
        <w:trPr>
          <w:trHeight w:val="297"/>
        </w:trPr>
        <w:tc>
          <w:tcPr>
            <w:tcW w:w="648" w:type="dxa"/>
            <w:shd w:val="clear" w:color="auto" w:fill="auto"/>
            <w:noWrap/>
            <w:vAlign w:val="bottom"/>
            <w:hideMark/>
          </w:tcPr>
          <w:p w14:paraId="33BECD57"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2016</w:t>
            </w:r>
          </w:p>
        </w:tc>
        <w:tc>
          <w:tcPr>
            <w:tcW w:w="765" w:type="dxa"/>
            <w:shd w:val="clear" w:color="auto" w:fill="auto"/>
            <w:noWrap/>
            <w:vAlign w:val="bottom"/>
            <w:hideMark/>
          </w:tcPr>
          <w:p w14:paraId="39D8574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p>
        </w:tc>
        <w:tc>
          <w:tcPr>
            <w:tcW w:w="850" w:type="dxa"/>
            <w:shd w:val="clear" w:color="auto" w:fill="auto"/>
            <w:noWrap/>
            <w:vAlign w:val="bottom"/>
            <w:hideMark/>
          </w:tcPr>
          <w:p w14:paraId="3B98FC0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281.57065</w:t>
            </w:r>
          </w:p>
        </w:tc>
        <w:tc>
          <w:tcPr>
            <w:tcW w:w="993" w:type="dxa"/>
            <w:shd w:val="clear" w:color="auto" w:fill="auto"/>
            <w:noWrap/>
            <w:vAlign w:val="bottom"/>
            <w:hideMark/>
          </w:tcPr>
          <w:p w14:paraId="7708C1E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1523.1621</w:t>
            </w:r>
          </w:p>
        </w:tc>
        <w:tc>
          <w:tcPr>
            <w:tcW w:w="992" w:type="dxa"/>
            <w:shd w:val="clear" w:color="auto" w:fill="auto"/>
            <w:noWrap/>
            <w:vAlign w:val="bottom"/>
            <w:hideMark/>
          </w:tcPr>
          <w:p w14:paraId="26047BD6"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5.16962</w:t>
            </w:r>
          </w:p>
        </w:tc>
        <w:tc>
          <w:tcPr>
            <w:tcW w:w="992" w:type="dxa"/>
            <w:shd w:val="clear" w:color="auto" w:fill="auto"/>
            <w:noWrap/>
            <w:vAlign w:val="bottom"/>
            <w:hideMark/>
          </w:tcPr>
          <w:p w14:paraId="150F996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11319.00114</w:t>
            </w:r>
          </w:p>
        </w:tc>
        <w:tc>
          <w:tcPr>
            <w:tcW w:w="851" w:type="dxa"/>
            <w:shd w:val="clear" w:color="auto" w:fill="auto"/>
            <w:noWrap/>
            <w:vAlign w:val="bottom"/>
            <w:hideMark/>
          </w:tcPr>
          <w:p w14:paraId="127C19E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1.724</w:t>
            </w:r>
          </w:p>
        </w:tc>
        <w:tc>
          <w:tcPr>
            <w:tcW w:w="850" w:type="dxa"/>
            <w:shd w:val="clear" w:color="auto" w:fill="auto"/>
            <w:noWrap/>
            <w:vAlign w:val="bottom"/>
            <w:hideMark/>
          </w:tcPr>
          <w:p w14:paraId="3DF94E9D"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w:t>
            </w:r>
          </w:p>
        </w:tc>
        <w:tc>
          <w:tcPr>
            <w:tcW w:w="851" w:type="dxa"/>
            <w:shd w:val="clear" w:color="auto" w:fill="auto"/>
            <w:noWrap/>
            <w:vAlign w:val="bottom"/>
            <w:hideMark/>
          </w:tcPr>
          <w:p w14:paraId="2049A54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31.50439</w:t>
            </w:r>
          </w:p>
        </w:tc>
        <w:tc>
          <w:tcPr>
            <w:tcW w:w="1134" w:type="dxa"/>
            <w:shd w:val="clear" w:color="auto" w:fill="auto"/>
            <w:noWrap/>
            <w:vAlign w:val="bottom"/>
            <w:hideMark/>
          </w:tcPr>
          <w:p w14:paraId="4455FF7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13162.13189</w:t>
            </w:r>
          </w:p>
        </w:tc>
      </w:tr>
      <w:tr w:rsidR="0009676B" w:rsidRPr="006E04D7" w14:paraId="2DDB019E" w14:textId="77777777" w:rsidTr="0009676B">
        <w:trPr>
          <w:trHeight w:val="297"/>
        </w:trPr>
        <w:tc>
          <w:tcPr>
            <w:tcW w:w="648" w:type="dxa"/>
            <w:shd w:val="clear" w:color="auto" w:fill="auto"/>
            <w:noWrap/>
            <w:vAlign w:val="bottom"/>
            <w:hideMark/>
          </w:tcPr>
          <w:p w14:paraId="420F2E5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2017</w:t>
            </w:r>
          </w:p>
        </w:tc>
        <w:tc>
          <w:tcPr>
            <w:tcW w:w="765" w:type="dxa"/>
            <w:shd w:val="clear" w:color="auto" w:fill="auto"/>
            <w:noWrap/>
            <w:vAlign w:val="bottom"/>
            <w:hideMark/>
          </w:tcPr>
          <w:p w14:paraId="5B7107DC"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50.4772</w:t>
            </w:r>
          </w:p>
        </w:tc>
        <w:tc>
          <w:tcPr>
            <w:tcW w:w="850" w:type="dxa"/>
            <w:shd w:val="clear" w:color="auto" w:fill="auto"/>
            <w:noWrap/>
            <w:vAlign w:val="bottom"/>
            <w:hideMark/>
          </w:tcPr>
          <w:p w14:paraId="1A47575E"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596.60238</w:t>
            </w:r>
          </w:p>
        </w:tc>
        <w:tc>
          <w:tcPr>
            <w:tcW w:w="993" w:type="dxa"/>
            <w:shd w:val="clear" w:color="auto" w:fill="auto"/>
            <w:noWrap/>
            <w:vAlign w:val="bottom"/>
            <w:hideMark/>
          </w:tcPr>
          <w:p w14:paraId="3DEF7FD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1183.7804</w:t>
            </w:r>
          </w:p>
        </w:tc>
        <w:tc>
          <w:tcPr>
            <w:tcW w:w="992" w:type="dxa"/>
            <w:shd w:val="clear" w:color="auto" w:fill="auto"/>
            <w:noWrap/>
            <w:vAlign w:val="bottom"/>
            <w:hideMark/>
          </w:tcPr>
          <w:p w14:paraId="280790DA"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89.54516</w:t>
            </w:r>
          </w:p>
        </w:tc>
        <w:tc>
          <w:tcPr>
            <w:tcW w:w="992" w:type="dxa"/>
            <w:shd w:val="clear" w:color="auto" w:fill="auto"/>
            <w:noWrap/>
            <w:vAlign w:val="bottom"/>
            <w:hideMark/>
          </w:tcPr>
          <w:p w14:paraId="454CD4CF"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14470.33311</w:t>
            </w:r>
          </w:p>
        </w:tc>
        <w:tc>
          <w:tcPr>
            <w:tcW w:w="851" w:type="dxa"/>
            <w:shd w:val="clear" w:color="auto" w:fill="auto"/>
            <w:noWrap/>
            <w:vAlign w:val="bottom"/>
            <w:hideMark/>
          </w:tcPr>
          <w:p w14:paraId="2F8CEC5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17.33912</w:t>
            </w:r>
          </w:p>
        </w:tc>
        <w:tc>
          <w:tcPr>
            <w:tcW w:w="850" w:type="dxa"/>
            <w:shd w:val="clear" w:color="auto" w:fill="auto"/>
            <w:noWrap/>
            <w:vAlign w:val="bottom"/>
            <w:hideMark/>
          </w:tcPr>
          <w:p w14:paraId="4C53384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271.507</w:t>
            </w:r>
          </w:p>
        </w:tc>
        <w:tc>
          <w:tcPr>
            <w:tcW w:w="851" w:type="dxa"/>
            <w:shd w:val="clear" w:color="auto" w:fill="auto"/>
            <w:noWrap/>
            <w:vAlign w:val="bottom"/>
            <w:hideMark/>
          </w:tcPr>
          <w:p w14:paraId="2FA27C2B"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0</w:t>
            </w:r>
          </w:p>
        </w:tc>
        <w:tc>
          <w:tcPr>
            <w:tcW w:w="1134" w:type="dxa"/>
            <w:shd w:val="clear" w:color="auto" w:fill="auto"/>
            <w:noWrap/>
            <w:vAlign w:val="bottom"/>
            <w:hideMark/>
          </w:tcPr>
          <w:p w14:paraId="078253F1" w14:textId="77777777" w:rsidR="005A3AAC" w:rsidRPr="006E04D7" w:rsidRDefault="005A3AAC" w:rsidP="009D503E">
            <w:pPr>
              <w:keepNext/>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16679.58434</w:t>
            </w:r>
          </w:p>
        </w:tc>
      </w:tr>
      <w:tr w:rsidR="0009676B" w:rsidRPr="006E04D7" w14:paraId="5EAF69F9" w14:textId="77777777" w:rsidTr="0009676B">
        <w:trPr>
          <w:trHeight w:val="297"/>
        </w:trPr>
        <w:tc>
          <w:tcPr>
            <w:tcW w:w="648" w:type="dxa"/>
            <w:shd w:val="clear" w:color="auto" w:fill="auto"/>
            <w:noWrap/>
            <w:vAlign w:val="bottom"/>
          </w:tcPr>
          <w:p w14:paraId="45D9E5A9"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Total </w:t>
            </w:r>
          </w:p>
        </w:tc>
        <w:tc>
          <w:tcPr>
            <w:tcW w:w="765" w:type="dxa"/>
            <w:shd w:val="clear" w:color="auto" w:fill="auto"/>
            <w:noWrap/>
            <w:vAlign w:val="bottom"/>
          </w:tcPr>
          <w:p w14:paraId="534C6760"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454.98</w:t>
            </w:r>
          </w:p>
        </w:tc>
        <w:tc>
          <w:tcPr>
            <w:tcW w:w="850" w:type="dxa"/>
            <w:shd w:val="clear" w:color="auto" w:fill="auto"/>
            <w:noWrap/>
            <w:vAlign w:val="bottom"/>
          </w:tcPr>
          <w:p w14:paraId="3526A5B1"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18,177.09</w:t>
            </w:r>
          </w:p>
        </w:tc>
        <w:tc>
          <w:tcPr>
            <w:tcW w:w="993" w:type="dxa"/>
            <w:shd w:val="clear" w:color="auto" w:fill="auto"/>
            <w:noWrap/>
            <w:vAlign w:val="bottom"/>
          </w:tcPr>
          <w:p w14:paraId="26AF4CA5"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65,032.65</w:t>
            </w:r>
          </w:p>
        </w:tc>
        <w:tc>
          <w:tcPr>
            <w:tcW w:w="992" w:type="dxa"/>
            <w:shd w:val="clear" w:color="auto" w:fill="auto"/>
            <w:noWrap/>
            <w:vAlign w:val="bottom"/>
          </w:tcPr>
          <w:p w14:paraId="2E1C2B8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3,798.37</w:t>
            </w:r>
          </w:p>
        </w:tc>
        <w:tc>
          <w:tcPr>
            <w:tcW w:w="992" w:type="dxa"/>
            <w:shd w:val="clear" w:color="auto" w:fill="auto"/>
            <w:noWrap/>
            <w:vAlign w:val="bottom"/>
          </w:tcPr>
          <w:p w14:paraId="09BE04B4"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531,603.19</w:t>
            </w:r>
          </w:p>
        </w:tc>
        <w:tc>
          <w:tcPr>
            <w:tcW w:w="851" w:type="dxa"/>
            <w:shd w:val="clear" w:color="auto" w:fill="auto"/>
            <w:noWrap/>
            <w:vAlign w:val="bottom"/>
          </w:tcPr>
          <w:p w14:paraId="59C7252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3,783.72</w:t>
            </w:r>
          </w:p>
        </w:tc>
        <w:tc>
          <w:tcPr>
            <w:tcW w:w="850" w:type="dxa"/>
            <w:shd w:val="clear" w:color="auto" w:fill="auto"/>
            <w:noWrap/>
            <w:vAlign w:val="bottom"/>
          </w:tcPr>
          <w:p w14:paraId="47E88EF3"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9,129.70</w:t>
            </w:r>
          </w:p>
        </w:tc>
        <w:tc>
          <w:tcPr>
            <w:tcW w:w="851" w:type="dxa"/>
            <w:shd w:val="clear" w:color="auto" w:fill="auto"/>
            <w:noWrap/>
            <w:vAlign w:val="bottom"/>
          </w:tcPr>
          <w:p w14:paraId="3FC0D4F2" w14:textId="77777777" w:rsidR="005A3AAC" w:rsidRPr="006E04D7" w:rsidRDefault="005A3AAC" w:rsidP="009D503E">
            <w:pPr>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271.79</w:t>
            </w:r>
          </w:p>
        </w:tc>
        <w:tc>
          <w:tcPr>
            <w:tcW w:w="1134" w:type="dxa"/>
            <w:shd w:val="clear" w:color="auto" w:fill="auto"/>
            <w:noWrap/>
            <w:vAlign w:val="bottom"/>
          </w:tcPr>
          <w:p w14:paraId="63B62B7E" w14:textId="77777777" w:rsidR="005A3AAC" w:rsidRPr="006E04D7" w:rsidRDefault="005A3AAC" w:rsidP="009D503E">
            <w:pPr>
              <w:keepNext/>
              <w:spacing w:after="0" w:line="360" w:lineRule="auto"/>
              <w:jc w:val="both"/>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632,251.50</w:t>
            </w:r>
          </w:p>
        </w:tc>
      </w:tr>
    </w:tbl>
    <w:p w14:paraId="0A815033" w14:textId="77777777" w:rsidR="008C2AB0" w:rsidRPr="006E04D7" w:rsidRDefault="008C2AB0" w:rsidP="00092CEA">
      <w:pPr>
        <w:spacing w:line="360" w:lineRule="auto"/>
        <w:rPr>
          <w:rFonts w:ascii="Times New Roman" w:hAnsi="Times New Roman" w:cs="Times New Roman"/>
        </w:rPr>
      </w:pPr>
    </w:p>
    <w:p w14:paraId="1DEE66BB" w14:textId="77777777" w:rsidR="008561FD" w:rsidRPr="006E04D7" w:rsidRDefault="008561FD" w:rsidP="00092CEA">
      <w:pPr>
        <w:pStyle w:val="Caption"/>
        <w:spacing w:line="360" w:lineRule="auto"/>
        <w:jc w:val="both"/>
        <w:rPr>
          <w:rFonts w:ascii="Times New Roman" w:hAnsi="Times New Roman" w:cs="Times New Roman"/>
          <w:sz w:val="24"/>
          <w:szCs w:val="24"/>
        </w:rPr>
      </w:pPr>
      <w:r w:rsidRPr="006E04D7">
        <w:rPr>
          <w:rFonts w:ascii="Times New Roman" w:hAnsi="Times New Roman" w:cs="Times New Roman"/>
          <w:sz w:val="24"/>
          <w:szCs w:val="24"/>
        </w:rPr>
        <w:t xml:space="preserve">Table </w:t>
      </w:r>
      <w:r w:rsidR="00FB400E">
        <w:rPr>
          <w:rFonts w:ascii="Times New Roman" w:hAnsi="Times New Roman" w:cs="Times New Roman"/>
          <w:sz w:val="24"/>
          <w:szCs w:val="24"/>
        </w:rPr>
        <w:fldChar w:fldCharType="begin"/>
      </w:r>
      <w:r w:rsidR="00FB400E">
        <w:rPr>
          <w:rFonts w:ascii="Times New Roman" w:hAnsi="Times New Roman" w:cs="Times New Roman"/>
          <w:sz w:val="24"/>
          <w:szCs w:val="24"/>
        </w:rPr>
        <w:instrText xml:space="preserve"> SEQ Table \* ARABIC </w:instrText>
      </w:r>
      <w:r w:rsidR="00FB400E">
        <w:rPr>
          <w:rFonts w:ascii="Times New Roman" w:hAnsi="Times New Roman" w:cs="Times New Roman"/>
          <w:sz w:val="24"/>
          <w:szCs w:val="24"/>
        </w:rPr>
        <w:fldChar w:fldCharType="separate"/>
      </w:r>
      <w:r w:rsidR="00563C86">
        <w:rPr>
          <w:rFonts w:ascii="Times New Roman" w:hAnsi="Times New Roman" w:cs="Times New Roman"/>
          <w:noProof/>
          <w:sz w:val="24"/>
          <w:szCs w:val="24"/>
        </w:rPr>
        <w:t>4</w:t>
      </w:r>
      <w:r w:rsidR="00FB400E">
        <w:rPr>
          <w:rFonts w:ascii="Times New Roman" w:hAnsi="Times New Roman" w:cs="Times New Roman"/>
          <w:sz w:val="24"/>
          <w:szCs w:val="24"/>
        </w:rPr>
        <w:fldChar w:fldCharType="end"/>
      </w:r>
      <w:r w:rsidRPr="006E04D7">
        <w:rPr>
          <w:rFonts w:ascii="Times New Roman" w:hAnsi="Times New Roman" w:cs="Times New Roman"/>
          <w:sz w:val="24"/>
          <w:szCs w:val="24"/>
        </w:rPr>
        <w:t>: Mediterranean_ICCAT_1995_2017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6"/>
        <w:gridCol w:w="726"/>
        <w:gridCol w:w="816"/>
        <w:gridCol w:w="906"/>
        <w:gridCol w:w="846"/>
        <w:gridCol w:w="696"/>
        <w:gridCol w:w="726"/>
        <w:gridCol w:w="666"/>
        <w:gridCol w:w="1383"/>
      </w:tblGrid>
      <w:tr w:rsidR="0009676B" w:rsidRPr="006E04D7" w14:paraId="2D6F884E" w14:textId="77777777" w:rsidTr="0009676B">
        <w:trPr>
          <w:trHeight w:val="271"/>
        </w:trPr>
        <w:tc>
          <w:tcPr>
            <w:tcW w:w="1129" w:type="dxa"/>
            <w:shd w:val="clear" w:color="auto" w:fill="auto"/>
            <w:noWrap/>
            <w:vAlign w:val="bottom"/>
            <w:hideMark/>
          </w:tcPr>
          <w:p w14:paraId="5DE7E23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Year</w:t>
            </w:r>
          </w:p>
        </w:tc>
        <w:tc>
          <w:tcPr>
            <w:tcW w:w="412" w:type="dxa"/>
            <w:shd w:val="clear" w:color="auto" w:fill="auto"/>
            <w:noWrap/>
            <w:vAlign w:val="bottom"/>
            <w:hideMark/>
          </w:tcPr>
          <w:p w14:paraId="23DEEA8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bb</w:t>
            </w:r>
          </w:p>
        </w:tc>
        <w:tc>
          <w:tcPr>
            <w:tcW w:w="0" w:type="auto"/>
            <w:shd w:val="clear" w:color="auto" w:fill="auto"/>
            <w:noWrap/>
            <w:vAlign w:val="bottom"/>
            <w:hideMark/>
          </w:tcPr>
          <w:p w14:paraId="39D7B82C"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HL</w:t>
            </w:r>
          </w:p>
        </w:tc>
        <w:tc>
          <w:tcPr>
            <w:tcW w:w="0" w:type="auto"/>
            <w:shd w:val="clear" w:color="auto" w:fill="auto"/>
            <w:noWrap/>
            <w:vAlign w:val="bottom"/>
            <w:hideMark/>
          </w:tcPr>
          <w:p w14:paraId="23C1513E"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LL</w:t>
            </w:r>
          </w:p>
        </w:tc>
        <w:tc>
          <w:tcPr>
            <w:tcW w:w="0" w:type="auto"/>
            <w:shd w:val="clear" w:color="auto" w:fill="auto"/>
            <w:noWrap/>
            <w:vAlign w:val="bottom"/>
            <w:hideMark/>
          </w:tcPr>
          <w:p w14:paraId="4A56888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other</w:t>
            </w:r>
          </w:p>
        </w:tc>
        <w:tc>
          <w:tcPr>
            <w:tcW w:w="0" w:type="auto"/>
            <w:shd w:val="clear" w:color="auto" w:fill="auto"/>
            <w:noWrap/>
            <w:vAlign w:val="bottom"/>
            <w:hideMark/>
          </w:tcPr>
          <w:p w14:paraId="74C03DB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PS</w:t>
            </w:r>
          </w:p>
        </w:tc>
        <w:tc>
          <w:tcPr>
            <w:tcW w:w="0" w:type="auto"/>
            <w:shd w:val="clear" w:color="auto" w:fill="auto"/>
            <w:noWrap/>
            <w:vAlign w:val="bottom"/>
            <w:hideMark/>
          </w:tcPr>
          <w:p w14:paraId="0E0C88CC"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RR</w:t>
            </w:r>
          </w:p>
        </w:tc>
        <w:tc>
          <w:tcPr>
            <w:tcW w:w="0" w:type="auto"/>
            <w:shd w:val="clear" w:color="auto" w:fill="auto"/>
            <w:noWrap/>
            <w:vAlign w:val="bottom"/>
            <w:hideMark/>
          </w:tcPr>
          <w:p w14:paraId="11E8C291"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TP</w:t>
            </w:r>
          </w:p>
        </w:tc>
        <w:tc>
          <w:tcPr>
            <w:tcW w:w="0" w:type="auto"/>
            <w:shd w:val="clear" w:color="auto" w:fill="auto"/>
            <w:noWrap/>
            <w:vAlign w:val="bottom"/>
            <w:hideMark/>
          </w:tcPr>
          <w:p w14:paraId="297D00F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TR</w:t>
            </w:r>
          </w:p>
        </w:tc>
        <w:tc>
          <w:tcPr>
            <w:tcW w:w="0" w:type="auto"/>
            <w:shd w:val="clear" w:color="auto" w:fill="auto"/>
            <w:noWrap/>
            <w:vAlign w:val="bottom"/>
            <w:hideMark/>
          </w:tcPr>
          <w:p w14:paraId="3B9A670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Yearly Total catch-ATE</w:t>
            </w:r>
          </w:p>
        </w:tc>
      </w:tr>
      <w:tr w:rsidR="0009676B" w:rsidRPr="006E04D7" w14:paraId="6712D238" w14:textId="77777777" w:rsidTr="0009676B">
        <w:trPr>
          <w:trHeight w:val="271"/>
        </w:trPr>
        <w:tc>
          <w:tcPr>
            <w:tcW w:w="1129" w:type="dxa"/>
            <w:shd w:val="clear" w:color="auto" w:fill="auto"/>
            <w:noWrap/>
            <w:vAlign w:val="bottom"/>
            <w:hideMark/>
          </w:tcPr>
          <w:p w14:paraId="2ACCEF7B"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1995</w:t>
            </w:r>
          </w:p>
        </w:tc>
        <w:tc>
          <w:tcPr>
            <w:tcW w:w="412" w:type="dxa"/>
            <w:shd w:val="clear" w:color="auto" w:fill="auto"/>
            <w:noWrap/>
            <w:vAlign w:val="bottom"/>
            <w:hideMark/>
          </w:tcPr>
          <w:p w14:paraId="130BFEAE"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3,093.26 </w:t>
            </w:r>
          </w:p>
        </w:tc>
        <w:tc>
          <w:tcPr>
            <w:tcW w:w="0" w:type="auto"/>
            <w:shd w:val="clear" w:color="auto" w:fill="auto"/>
            <w:noWrap/>
            <w:vAlign w:val="bottom"/>
            <w:hideMark/>
          </w:tcPr>
          <w:p w14:paraId="4E36072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09BCD72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4,521.67 </w:t>
            </w:r>
          </w:p>
        </w:tc>
        <w:tc>
          <w:tcPr>
            <w:tcW w:w="0" w:type="auto"/>
            <w:shd w:val="clear" w:color="auto" w:fill="auto"/>
            <w:noWrap/>
            <w:vAlign w:val="bottom"/>
            <w:hideMark/>
          </w:tcPr>
          <w:p w14:paraId="2C97D72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555.00 </w:t>
            </w:r>
          </w:p>
        </w:tc>
        <w:tc>
          <w:tcPr>
            <w:tcW w:w="0" w:type="auto"/>
            <w:shd w:val="clear" w:color="auto" w:fill="auto"/>
            <w:noWrap/>
            <w:vAlign w:val="bottom"/>
            <w:hideMark/>
          </w:tcPr>
          <w:p w14:paraId="5825CC0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458.10 </w:t>
            </w:r>
          </w:p>
        </w:tc>
        <w:tc>
          <w:tcPr>
            <w:tcW w:w="0" w:type="auto"/>
            <w:shd w:val="clear" w:color="auto" w:fill="auto"/>
            <w:noWrap/>
            <w:vAlign w:val="bottom"/>
            <w:hideMark/>
          </w:tcPr>
          <w:p w14:paraId="3D11391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75.00 </w:t>
            </w:r>
          </w:p>
        </w:tc>
        <w:tc>
          <w:tcPr>
            <w:tcW w:w="0" w:type="auto"/>
            <w:shd w:val="clear" w:color="auto" w:fill="auto"/>
            <w:noWrap/>
            <w:vAlign w:val="bottom"/>
            <w:hideMark/>
          </w:tcPr>
          <w:p w14:paraId="58C79CD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1,152.00 </w:t>
            </w:r>
          </w:p>
        </w:tc>
        <w:tc>
          <w:tcPr>
            <w:tcW w:w="0" w:type="auto"/>
            <w:shd w:val="clear" w:color="auto" w:fill="auto"/>
            <w:noWrap/>
            <w:vAlign w:val="bottom"/>
            <w:hideMark/>
          </w:tcPr>
          <w:p w14:paraId="7CD9BA00"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47C18B8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9,855.03 </w:t>
            </w:r>
          </w:p>
        </w:tc>
      </w:tr>
      <w:tr w:rsidR="0009676B" w:rsidRPr="006E04D7" w14:paraId="4C2220FB" w14:textId="77777777" w:rsidTr="0009676B">
        <w:trPr>
          <w:trHeight w:val="271"/>
        </w:trPr>
        <w:tc>
          <w:tcPr>
            <w:tcW w:w="1129" w:type="dxa"/>
            <w:shd w:val="clear" w:color="auto" w:fill="auto"/>
            <w:noWrap/>
            <w:vAlign w:val="bottom"/>
            <w:hideMark/>
          </w:tcPr>
          <w:p w14:paraId="5817AB2C"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1996</w:t>
            </w:r>
          </w:p>
        </w:tc>
        <w:tc>
          <w:tcPr>
            <w:tcW w:w="412" w:type="dxa"/>
            <w:shd w:val="clear" w:color="auto" w:fill="auto"/>
            <w:noWrap/>
            <w:vAlign w:val="bottom"/>
            <w:hideMark/>
          </w:tcPr>
          <w:p w14:paraId="1F0EA85A"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5,368.88 </w:t>
            </w:r>
          </w:p>
        </w:tc>
        <w:tc>
          <w:tcPr>
            <w:tcW w:w="0" w:type="auto"/>
            <w:shd w:val="clear" w:color="auto" w:fill="auto"/>
            <w:noWrap/>
            <w:vAlign w:val="bottom"/>
            <w:hideMark/>
          </w:tcPr>
          <w:p w14:paraId="105D57B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67FAEB3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4,212.00 </w:t>
            </w:r>
          </w:p>
        </w:tc>
        <w:tc>
          <w:tcPr>
            <w:tcW w:w="0" w:type="auto"/>
            <w:shd w:val="clear" w:color="auto" w:fill="auto"/>
            <w:noWrap/>
            <w:vAlign w:val="bottom"/>
            <w:hideMark/>
          </w:tcPr>
          <w:p w14:paraId="201E476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273.15 </w:t>
            </w:r>
          </w:p>
        </w:tc>
        <w:tc>
          <w:tcPr>
            <w:tcW w:w="0" w:type="auto"/>
            <w:shd w:val="clear" w:color="auto" w:fill="auto"/>
            <w:noWrap/>
            <w:vAlign w:val="bottom"/>
            <w:hideMark/>
          </w:tcPr>
          <w:p w14:paraId="44A599D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323.00 </w:t>
            </w:r>
          </w:p>
        </w:tc>
        <w:tc>
          <w:tcPr>
            <w:tcW w:w="0" w:type="auto"/>
            <w:shd w:val="clear" w:color="auto" w:fill="auto"/>
            <w:noWrap/>
            <w:vAlign w:val="bottom"/>
            <w:hideMark/>
          </w:tcPr>
          <w:p w14:paraId="200B0CF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62FD4D5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1,921.00 </w:t>
            </w:r>
          </w:p>
        </w:tc>
        <w:tc>
          <w:tcPr>
            <w:tcW w:w="0" w:type="auto"/>
            <w:shd w:val="clear" w:color="auto" w:fill="auto"/>
            <w:noWrap/>
            <w:vAlign w:val="bottom"/>
            <w:hideMark/>
          </w:tcPr>
          <w:p w14:paraId="2A8D4592"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08B2BDA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12,098.03 </w:t>
            </w:r>
          </w:p>
        </w:tc>
      </w:tr>
      <w:tr w:rsidR="0009676B" w:rsidRPr="006E04D7" w14:paraId="2D2FA4E6" w14:textId="77777777" w:rsidTr="0009676B">
        <w:trPr>
          <w:trHeight w:val="271"/>
        </w:trPr>
        <w:tc>
          <w:tcPr>
            <w:tcW w:w="1129" w:type="dxa"/>
            <w:shd w:val="clear" w:color="auto" w:fill="auto"/>
            <w:noWrap/>
            <w:vAlign w:val="bottom"/>
            <w:hideMark/>
          </w:tcPr>
          <w:p w14:paraId="5458264F"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1997</w:t>
            </w:r>
          </w:p>
        </w:tc>
        <w:tc>
          <w:tcPr>
            <w:tcW w:w="412" w:type="dxa"/>
            <w:shd w:val="clear" w:color="auto" w:fill="auto"/>
            <w:noWrap/>
            <w:vAlign w:val="bottom"/>
            <w:hideMark/>
          </w:tcPr>
          <w:p w14:paraId="54C2787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7,214.59 </w:t>
            </w:r>
          </w:p>
        </w:tc>
        <w:tc>
          <w:tcPr>
            <w:tcW w:w="0" w:type="auto"/>
            <w:shd w:val="clear" w:color="auto" w:fill="auto"/>
            <w:noWrap/>
            <w:vAlign w:val="bottom"/>
            <w:hideMark/>
          </w:tcPr>
          <w:p w14:paraId="4394704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162.00 </w:t>
            </w:r>
          </w:p>
        </w:tc>
        <w:tc>
          <w:tcPr>
            <w:tcW w:w="0" w:type="auto"/>
            <w:shd w:val="clear" w:color="auto" w:fill="auto"/>
            <w:noWrap/>
            <w:vAlign w:val="bottom"/>
            <w:hideMark/>
          </w:tcPr>
          <w:p w14:paraId="30A4481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4,057.40 </w:t>
            </w:r>
          </w:p>
        </w:tc>
        <w:tc>
          <w:tcPr>
            <w:tcW w:w="0" w:type="auto"/>
            <w:shd w:val="clear" w:color="auto" w:fill="auto"/>
            <w:noWrap/>
            <w:vAlign w:val="bottom"/>
            <w:hideMark/>
          </w:tcPr>
          <w:p w14:paraId="296E23E0"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60.34 </w:t>
            </w:r>
          </w:p>
        </w:tc>
        <w:tc>
          <w:tcPr>
            <w:tcW w:w="0" w:type="auto"/>
            <w:shd w:val="clear" w:color="auto" w:fill="auto"/>
            <w:noWrap/>
            <w:vAlign w:val="bottom"/>
            <w:hideMark/>
          </w:tcPr>
          <w:p w14:paraId="0162FE7A"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828.00 </w:t>
            </w:r>
          </w:p>
        </w:tc>
        <w:tc>
          <w:tcPr>
            <w:tcW w:w="0" w:type="auto"/>
            <w:shd w:val="clear" w:color="auto" w:fill="auto"/>
            <w:noWrap/>
            <w:vAlign w:val="bottom"/>
            <w:hideMark/>
          </w:tcPr>
          <w:p w14:paraId="4DC9475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3DC2B736"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3,982.00 </w:t>
            </w:r>
          </w:p>
        </w:tc>
        <w:tc>
          <w:tcPr>
            <w:tcW w:w="0" w:type="auto"/>
            <w:shd w:val="clear" w:color="auto" w:fill="auto"/>
            <w:noWrap/>
            <w:vAlign w:val="bottom"/>
            <w:hideMark/>
          </w:tcPr>
          <w:p w14:paraId="71FB796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576DDFC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16,304.33 </w:t>
            </w:r>
          </w:p>
        </w:tc>
      </w:tr>
      <w:tr w:rsidR="0009676B" w:rsidRPr="006E04D7" w14:paraId="4B284189" w14:textId="77777777" w:rsidTr="0009676B">
        <w:trPr>
          <w:trHeight w:val="271"/>
        </w:trPr>
        <w:tc>
          <w:tcPr>
            <w:tcW w:w="1129" w:type="dxa"/>
            <w:shd w:val="clear" w:color="auto" w:fill="auto"/>
            <w:noWrap/>
            <w:vAlign w:val="bottom"/>
            <w:hideMark/>
          </w:tcPr>
          <w:p w14:paraId="17D5D4D6"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1998</w:t>
            </w:r>
          </w:p>
        </w:tc>
        <w:tc>
          <w:tcPr>
            <w:tcW w:w="412" w:type="dxa"/>
            <w:shd w:val="clear" w:color="auto" w:fill="auto"/>
            <w:noWrap/>
            <w:vAlign w:val="bottom"/>
            <w:hideMark/>
          </w:tcPr>
          <w:p w14:paraId="0152E1F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3,139.33 </w:t>
            </w:r>
          </w:p>
        </w:tc>
        <w:tc>
          <w:tcPr>
            <w:tcW w:w="0" w:type="auto"/>
            <w:shd w:val="clear" w:color="auto" w:fill="auto"/>
            <w:noWrap/>
            <w:vAlign w:val="bottom"/>
            <w:hideMark/>
          </w:tcPr>
          <w:p w14:paraId="63B2D056"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324.00 </w:t>
            </w:r>
          </w:p>
        </w:tc>
        <w:tc>
          <w:tcPr>
            <w:tcW w:w="0" w:type="auto"/>
            <w:shd w:val="clear" w:color="auto" w:fill="auto"/>
            <w:noWrap/>
            <w:vAlign w:val="bottom"/>
            <w:hideMark/>
          </w:tcPr>
          <w:p w14:paraId="5DEF61C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3,789.00 </w:t>
            </w:r>
          </w:p>
        </w:tc>
        <w:tc>
          <w:tcPr>
            <w:tcW w:w="0" w:type="auto"/>
            <w:shd w:val="clear" w:color="auto" w:fill="auto"/>
            <w:noWrap/>
            <w:vAlign w:val="bottom"/>
            <w:hideMark/>
          </w:tcPr>
          <w:p w14:paraId="43865812"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387.00 </w:t>
            </w:r>
          </w:p>
        </w:tc>
        <w:tc>
          <w:tcPr>
            <w:tcW w:w="0" w:type="auto"/>
            <w:shd w:val="clear" w:color="auto" w:fill="auto"/>
            <w:noWrap/>
            <w:vAlign w:val="bottom"/>
            <w:hideMark/>
          </w:tcPr>
          <w:p w14:paraId="13ED896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700.00 </w:t>
            </w:r>
          </w:p>
        </w:tc>
        <w:tc>
          <w:tcPr>
            <w:tcW w:w="0" w:type="auto"/>
            <w:shd w:val="clear" w:color="auto" w:fill="auto"/>
            <w:noWrap/>
            <w:vAlign w:val="bottom"/>
            <w:hideMark/>
          </w:tcPr>
          <w:p w14:paraId="1ABCE63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5BD9D0B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3,586.39 </w:t>
            </w:r>
          </w:p>
        </w:tc>
        <w:tc>
          <w:tcPr>
            <w:tcW w:w="0" w:type="auto"/>
            <w:shd w:val="clear" w:color="auto" w:fill="auto"/>
            <w:noWrap/>
            <w:vAlign w:val="bottom"/>
            <w:hideMark/>
          </w:tcPr>
          <w:p w14:paraId="4E28971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0638C69E"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11,925.71 </w:t>
            </w:r>
          </w:p>
        </w:tc>
      </w:tr>
      <w:tr w:rsidR="0009676B" w:rsidRPr="006E04D7" w14:paraId="2D8E0B88" w14:textId="77777777" w:rsidTr="0009676B">
        <w:trPr>
          <w:trHeight w:val="271"/>
        </w:trPr>
        <w:tc>
          <w:tcPr>
            <w:tcW w:w="1129" w:type="dxa"/>
            <w:shd w:val="clear" w:color="auto" w:fill="auto"/>
            <w:noWrap/>
            <w:vAlign w:val="bottom"/>
            <w:hideMark/>
          </w:tcPr>
          <w:p w14:paraId="62671011"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1999</w:t>
            </w:r>
          </w:p>
        </w:tc>
        <w:tc>
          <w:tcPr>
            <w:tcW w:w="412" w:type="dxa"/>
            <w:shd w:val="clear" w:color="auto" w:fill="auto"/>
            <w:noWrap/>
            <w:vAlign w:val="bottom"/>
            <w:hideMark/>
          </w:tcPr>
          <w:p w14:paraId="26E03A36"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1,553.53 </w:t>
            </w:r>
          </w:p>
        </w:tc>
        <w:tc>
          <w:tcPr>
            <w:tcW w:w="0" w:type="auto"/>
            <w:shd w:val="clear" w:color="auto" w:fill="auto"/>
            <w:noWrap/>
            <w:vAlign w:val="bottom"/>
            <w:hideMark/>
          </w:tcPr>
          <w:p w14:paraId="032601E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324.00 </w:t>
            </w:r>
          </w:p>
        </w:tc>
        <w:tc>
          <w:tcPr>
            <w:tcW w:w="0" w:type="auto"/>
            <w:shd w:val="clear" w:color="auto" w:fill="auto"/>
            <w:noWrap/>
            <w:vAlign w:val="bottom"/>
            <w:hideMark/>
          </w:tcPr>
          <w:p w14:paraId="642313E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3,569.97 </w:t>
            </w:r>
          </w:p>
        </w:tc>
        <w:tc>
          <w:tcPr>
            <w:tcW w:w="0" w:type="auto"/>
            <w:shd w:val="clear" w:color="auto" w:fill="auto"/>
            <w:noWrap/>
            <w:vAlign w:val="bottom"/>
            <w:hideMark/>
          </w:tcPr>
          <w:p w14:paraId="30BEF50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404.13 </w:t>
            </w:r>
          </w:p>
        </w:tc>
        <w:tc>
          <w:tcPr>
            <w:tcW w:w="0" w:type="auto"/>
            <w:shd w:val="clear" w:color="auto" w:fill="auto"/>
            <w:noWrap/>
            <w:vAlign w:val="bottom"/>
            <w:hideMark/>
          </w:tcPr>
          <w:p w14:paraId="28CB37A2"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726.10 </w:t>
            </w:r>
          </w:p>
        </w:tc>
        <w:tc>
          <w:tcPr>
            <w:tcW w:w="0" w:type="auto"/>
            <w:shd w:val="clear" w:color="auto" w:fill="auto"/>
            <w:noWrap/>
            <w:vAlign w:val="bottom"/>
            <w:hideMark/>
          </w:tcPr>
          <w:p w14:paraId="172201C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0EAA93B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3,959.77 </w:t>
            </w:r>
          </w:p>
        </w:tc>
        <w:tc>
          <w:tcPr>
            <w:tcW w:w="0" w:type="auto"/>
            <w:shd w:val="clear" w:color="auto" w:fill="auto"/>
            <w:noWrap/>
            <w:vAlign w:val="bottom"/>
            <w:hideMark/>
          </w:tcPr>
          <w:p w14:paraId="40F1D9A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1938A7E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10,537.50 </w:t>
            </w:r>
          </w:p>
        </w:tc>
      </w:tr>
      <w:tr w:rsidR="0009676B" w:rsidRPr="006E04D7" w14:paraId="43BD632F" w14:textId="77777777" w:rsidTr="0009676B">
        <w:trPr>
          <w:trHeight w:val="271"/>
        </w:trPr>
        <w:tc>
          <w:tcPr>
            <w:tcW w:w="1129" w:type="dxa"/>
            <w:shd w:val="clear" w:color="auto" w:fill="auto"/>
            <w:noWrap/>
            <w:vAlign w:val="bottom"/>
            <w:hideMark/>
          </w:tcPr>
          <w:p w14:paraId="3D5D263D"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2000</w:t>
            </w:r>
          </w:p>
        </w:tc>
        <w:tc>
          <w:tcPr>
            <w:tcW w:w="412" w:type="dxa"/>
            <w:shd w:val="clear" w:color="auto" w:fill="auto"/>
            <w:noWrap/>
            <w:vAlign w:val="bottom"/>
            <w:hideMark/>
          </w:tcPr>
          <w:p w14:paraId="3990D71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2,032.44 </w:t>
            </w:r>
          </w:p>
        </w:tc>
        <w:tc>
          <w:tcPr>
            <w:tcW w:w="0" w:type="auto"/>
            <w:shd w:val="clear" w:color="auto" w:fill="auto"/>
            <w:noWrap/>
            <w:vAlign w:val="bottom"/>
            <w:hideMark/>
          </w:tcPr>
          <w:p w14:paraId="04985A8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324.00 </w:t>
            </w:r>
          </w:p>
        </w:tc>
        <w:tc>
          <w:tcPr>
            <w:tcW w:w="0" w:type="auto"/>
            <w:shd w:val="clear" w:color="auto" w:fill="auto"/>
            <w:noWrap/>
            <w:vAlign w:val="bottom"/>
            <w:hideMark/>
          </w:tcPr>
          <w:p w14:paraId="63D5F0B1"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3,735.69 </w:t>
            </w:r>
          </w:p>
        </w:tc>
        <w:tc>
          <w:tcPr>
            <w:tcW w:w="0" w:type="auto"/>
            <w:shd w:val="clear" w:color="auto" w:fill="auto"/>
            <w:noWrap/>
            <w:vAlign w:val="bottom"/>
            <w:hideMark/>
          </w:tcPr>
          <w:p w14:paraId="217F959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507.16 </w:t>
            </w:r>
          </w:p>
        </w:tc>
        <w:tc>
          <w:tcPr>
            <w:tcW w:w="0" w:type="auto"/>
            <w:shd w:val="clear" w:color="auto" w:fill="auto"/>
            <w:noWrap/>
            <w:vAlign w:val="bottom"/>
            <w:hideMark/>
          </w:tcPr>
          <w:p w14:paraId="369B5D4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661.20 </w:t>
            </w:r>
          </w:p>
        </w:tc>
        <w:tc>
          <w:tcPr>
            <w:tcW w:w="0" w:type="auto"/>
            <w:shd w:val="clear" w:color="auto" w:fill="auto"/>
            <w:noWrap/>
            <w:vAlign w:val="bottom"/>
            <w:hideMark/>
          </w:tcPr>
          <w:p w14:paraId="01577F2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14B60B1C"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2,996.42 </w:t>
            </w:r>
          </w:p>
        </w:tc>
        <w:tc>
          <w:tcPr>
            <w:tcW w:w="0" w:type="auto"/>
            <w:shd w:val="clear" w:color="auto" w:fill="auto"/>
            <w:noWrap/>
            <w:vAlign w:val="bottom"/>
            <w:hideMark/>
          </w:tcPr>
          <w:p w14:paraId="26D4E20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2.00 </w:t>
            </w:r>
          </w:p>
        </w:tc>
        <w:tc>
          <w:tcPr>
            <w:tcW w:w="0" w:type="auto"/>
            <w:shd w:val="clear" w:color="auto" w:fill="auto"/>
            <w:noWrap/>
            <w:vAlign w:val="bottom"/>
            <w:hideMark/>
          </w:tcPr>
          <w:p w14:paraId="4FEFF601"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10,258.91 </w:t>
            </w:r>
          </w:p>
        </w:tc>
      </w:tr>
      <w:tr w:rsidR="0009676B" w:rsidRPr="006E04D7" w14:paraId="0610A00A" w14:textId="77777777" w:rsidTr="0009676B">
        <w:trPr>
          <w:trHeight w:val="271"/>
        </w:trPr>
        <w:tc>
          <w:tcPr>
            <w:tcW w:w="1129" w:type="dxa"/>
            <w:shd w:val="clear" w:color="auto" w:fill="auto"/>
            <w:noWrap/>
            <w:vAlign w:val="bottom"/>
            <w:hideMark/>
          </w:tcPr>
          <w:p w14:paraId="5392E9ED"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2001</w:t>
            </w:r>
          </w:p>
        </w:tc>
        <w:tc>
          <w:tcPr>
            <w:tcW w:w="412" w:type="dxa"/>
            <w:shd w:val="clear" w:color="auto" w:fill="auto"/>
            <w:noWrap/>
            <w:vAlign w:val="bottom"/>
            <w:hideMark/>
          </w:tcPr>
          <w:p w14:paraId="4624F97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2,426.24 </w:t>
            </w:r>
          </w:p>
        </w:tc>
        <w:tc>
          <w:tcPr>
            <w:tcW w:w="0" w:type="auto"/>
            <w:shd w:val="clear" w:color="auto" w:fill="auto"/>
            <w:noWrap/>
            <w:vAlign w:val="bottom"/>
            <w:hideMark/>
          </w:tcPr>
          <w:p w14:paraId="1384532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61.20 </w:t>
            </w:r>
          </w:p>
        </w:tc>
        <w:tc>
          <w:tcPr>
            <w:tcW w:w="0" w:type="auto"/>
            <w:shd w:val="clear" w:color="auto" w:fill="auto"/>
            <w:noWrap/>
            <w:vAlign w:val="bottom"/>
            <w:hideMark/>
          </w:tcPr>
          <w:p w14:paraId="5676ED16"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3,303.14 </w:t>
            </w:r>
          </w:p>
        </w:tc>
        <w:tc>
          <w:tcPr>
            <w:tcW w:w="0" w:type="auto"/>
            <w:shd w:val="clear" w:color="auto" w:fill="auto"/>
            <w:noWrap/>
            <w:vAlign w:val="bottom"/>
            <w:hideMark/>
          </w:tcPr>
          <w:p w14:paraId="2B7250BE"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557.67 </w:t>
            </w:r>
          </w:p>
        </w:tc>
        <w:tc>
          <w:tcPr>
            <w:tcW w:w="0" w:type="auto"/>
            <w:shd w:val="clear" w:color="auto" w:fill="auto"/>
            <w:noWrap/>
            <w:vAlign w:val="bottom"/>
            <w:hideMark/>
          </w:tcPr>
          <w:p w14:paraId="5B90442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152.80 </w:t>
            </w:r>
          </w:p>
        </w:tc>
        <w:tc>
          <w:tcPr>
            <w:tcW w:w="0" w:type="auto"/>
            <w:shd w:val="clear" w:color="auto" w:fill="auto"/>
            <w:noWrap/>
            <w:vAlign w:val="bottom"/>
            <w:hideMark/>
          </w:tcPr>
          <w:p w14:paraId="4892FEF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4A4CBE3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3,585.30 </w:t>
            </w:r>
          </w:p>
        </w:tc>
        <w:tc>
          <w:tcPr>
            <w:tcW w:w="0" w:type="auto"/>
            <w:shd w:val="clear" w:color="auto" w:fill="auto"/>
            <w:noWrap/>
            <w:vAlign w:val="bottom"/>
            <w:hideMark/>
          </w:tcPr>
          <w:p w14:paraId="7D2A5EC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5D8302D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10,086.35 </w:t>
            </w:r>
          </w:p>
        </w:tc>
      </w:tr>
      <w:tr w:rsidR="0009676B" w:rsidRPr="006E04D7" w14:paraId="4A987947" w14:textId="77777777" w:rsidTr="0009676B">
        <w:trPr>
          <w:trHeight w:val="271"/>
        </w:trPr>
        <w:tc>
          <w:tcPr>
            <w:tcW w:w="1129" w:type="dxa"/>
            <w:shd w:val="clear" w:color="auto" w:fill="auto"/>
            <w:noWrap/>
            <w:vAlign w:val="bottom"/>
            <w:hideMark/>
          </w:tcPr>
          <w:p w14:paraId="46D8605F"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2002</w:t>
            </w:r>
          </w:p>
        </w:tc>
        <w:tc>
          <w:tcPr>
            <w:tcW w:w="412" w:type="dxa"/>
            <w:shd w:val="clear" w:color="auto" w:fill="auto"/>
            <w:noWrap/>
            <w:vAlign w:val="bottom"/>
            <w:hideMark/>
          </w:tcPr>
          <w:p w14:paraId="75F5F3F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2,634.62 </w:t>
            </w:r>
          </w:p>
        </w:tc>
        <w:tc>
          <w:tcPr>
            <w:tcW w:w="0" w:type="auto"/>
            <w:shd w:val="clear" w:color="auto" w:fill="auto"/>
            <w:noWrap/>
            <w:vAlign w:val="bottom"/>
            <w:hideMark/>
          </w:tcPr>
          <w:p w14:paraId="779CB081"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62.50 </w:t>
            </w:r>
          </w:p>
        </w:tc>
        <w:tc>
          <w:tcPr>
            <w:tcW w:w="0" w:type="auto"/>
            <w:shd w:val="clear" w:color="auto" w:fill="auto"/>
            <w:noWrap/>
            <w:vAlign w:val="bottom"/>
            <w:hideMark/>
          </w:tcPr>
          <w:p w14:paraId="512C2F30"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2,896.42 </w:t>
            </w:r>
          </w:p>
        </w:tc>
        <w:tc>
          <w:tcPr>
            <w:tcW w:w="0" w:type="auto"/>
            <w:shd w:val="clear" w:color="auto" w:fill="auto"/>
            <w:noWrap/>
            <w:vAlign w:val="bottom"/>
            <w:hideMark/>
          </w:tcPr>
          <w:p w14:paraId="271B14B0"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631.00 </w:t>
            </w:r>
          </w:p>
        </w:tc>
        <w:tc>
          <w:tcPr>
            <w:tcW w:w="0" w:type="auto"/>
            <w:shd w:val="clear" w:color="auto" w:fill="auto"/>
            <w:noWrap/>
            <w:vAlign w:val="bottom"/>
            <w:hideMark/>
          </w:tcPr>
          <w:p w14:paraId="54F56C0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886.70 </w:t>
            </w:r>
          </w:p>
        </w:tc>
        <w:tc>
          <w:tcPr>
            <w:tcW w:w="0" w:type="auto"/>
            <w:shd w:val="clear" w:color="auto" w:fill="auto"/>
            <w:noWrap/>
            <w:vAlign w:val="bottom"/>
            <w:hideMark/>
          </w:tcPr>
          <w:p w14:paraId="663DCB9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6BB9310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3,235.30 </w:t>
            </w:r>
          </w:p>
        </w:tc>
        <w:tc>
          <w:tcPr>
            <w:tcW w:w="0" w:type="auto"/>
            <w:shd w:val="clear" w:color="auto" w:fill="auto"/>
            <w:noWrap/>
            <w:vAlign w:val="bottom"/>
            <w:hideMark/>
          </w:tcPr>
          <w:p w14:paraId="3A9AE86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63D3ACC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10,346.53 </w:t>
            </w:r>
          </w:p>
        </w:tc>
      </w:tr>
      <w:tr w:rsidR="0009676B" w:rsidRPr="006E04D7" w14:paraId="3D779CA6" w14:textId="77777777" w:rsidTr="0009676B">
        <w:trPr>
          <w:trHeight w:val="271"/>
        </w:trPr>
        <w:tc>
          <w:tcPr>
            <w:tcW w:w="1129" w:type="dxa"/>
            <w:shd w:val="clear" w:color="auto" w:fill="auto"/>
            <w:noWrap/>
            <w:vAlign w:val="bottom"/>
            <w:hideMark/>
          </w:tcPr>
          <w:p w14:paraId="567185F6"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2003</w:t>
            </w:r>
          </w:p>
        </w:tc>
        <w:tc>
          <w:tcPr>
            <w:tcW w:w="412" w:type="dxa"/>
            <w:shd w:val="clear" w:color="auto" w:fill="auto"/>
            <w:noWrap/>
            <w:vAlign w:val="bottom"/>
            <w:hideMark/>
          </w:tcPr>
          <w:p w14:paraId="5C2D212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1,409.41 </w:t>
            </w:r>
          </w:p>
        </w:tc>
        <w:tc>
          <w:tcPr>
            <w:tcW w:w="0" w:type="auto"/>
            <w:shd w:val="clear" w:color="auto" w:fill="auto"/>
            <w:noWrap/>
            <w:vAlign w:val="bottom"/>
            <w:hideMark/>
          </w:tcPr>
          <w:p w14:paraId="4A5DDFDC"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109.04 </w:t>
            </w:r>
          </w:p>
        </w:tc>
        <w:tc>
          <w:tcPr>
            <w:tcW w:w="0" w:type="auto"/>
            <w:shd w:val="clear" w:color="auto" w:fill="auto"/>
            <w:noWrap/>
            <w:vAlign w:val="bottom"/>
            <w:hideMark/>
          </w:tcPr>
          <w:p w14:paraId="0E61DD1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2,748.41 </w:t>
            </w:r>
          </w:p>
        </w:tc>
        <w:tc>
          <w:tcPr>
            <w:tcW w:w="0" w:type="auto"/>
            <w:shd w:val="clear" w:color="auto" w:fill="auto"/>
            <w:noWrap/>
            <w:vAlign w:val="bottom"/>
            <w:hideMark/>
          </w:tcPr>
          <w:p w14:paraId="5B6B202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521.37 </w:t>
            </w:r>
          </w:p>
        </w:tc>
        <w:tc>
          <w:tcPr>
            <w:tcW w:w="0" w:type="auto"/>
            <w:shd w:val="clear" w:color="auto" w:fill="auto"/>
            <w:noWrap/>
            <w:vAlign w:val="bottom"/>
            <w:hideMark/>
          </w:tcPr>
          <w:p w14:paraId="37BD7AD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490.01 </w:t>
            </w:r>
          </w:p>
        </w:tc>
        <w:tc>
          <w:tcPr>
            <w:tcW w:w="0" w:type="auto"/>
            <w:shd w:val="clear" w:color="auto" w:fill="auto"/>
            <w:noWrap/>
            <w:vAlign w:val="bottom"/>
            <w:hideMark/>
          </w:tcPr>
          <w:p w14:paraId="7B1E81EA"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5C6AD8D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2,116.02 </w:t>
            </w:r>
          </w:p>
        </w:tc>
        <w:tc>
          <w:tcPr>
            <w:tcW w:w="0" w:type="auto"/>
            <w:shd w:val="clear" w:color="auto" w:fill="auto"/>
            <w:noWrap/>
            <w:vAlign w:val="bottom"/>
            <w:hideMark/>
          </w:tcPr>
          <w:p w14:paraId="0A0E244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5B93502C"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7,394.26 </w:t>
            </w:r>
          </w:p>
        </w:tc>
      </w:tr>
      <w:tr w:rsidR="0009676B" w:rsidRPr="006E04D7" w14:paraId="71B451B9" w14:textId="77777777" w:rsidTr="0009676B">
        <w:trPr>
          <w:trHeight w:val="271"/>
        </w:trPr>
        <w:tc>
          <w:tcPr>
            <w:tcW w:w="1129" w:type="dxa"/>
            <w:shd w:val="clear" w:color="auto" w:fill="auto"/>
            <w:noWrap/>
            <w:vAlign w:val="bottom"/>
            <w:hideMark/>
          </w:tcPr>
          <w:p w14:paraId="30C15F07"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2004</w:t>
            </w:r>
          </w:p>
        </w:tc>
        <w:tc>
          <w:tcPr>
            <w:tcW w:w="412" w:type="dxa"/>
            <w:shd w:val="clear" w:color="auto" w:fill="auto"/>
            <w:noWrap/>
            <w:vAlign w:val="bottom"/>
            <w:hideMark/>
          </w:tcPr>
          <w:p w14:paraId="0567576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1,901.73 </w:t>
            </w:r>
          </w:p>
        </w:tc>
        <w:tc>
          <w:tcPr>
            <w:tcW w:w="0" w:type="auto"/>
            <w:shd w:val="clear" w:color="auto" w:fill="auto"/>
            <w:noWrap/>
            <w:vAlign w:val="bottom"/>
            <w:hideMark/>
          </w:tcPr>
          <w:p w14:paraId="6890C54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87.23 </w:t>
            </w:r>
          </w:p>
        </w:tc>
        <w:tc>
          <w:tcPr>
            <w:tcW w:w="0" w:type="auto"/>
            <w:shd w:val="clear" w:color="auto" w:fill="auto"/>
            <w:noWrap/>
            <w:vAlign w:val="bottom"/>
            <w:hideMark/>
          </w:tcPr>
          <w:p w14:paraId="14EE5F10"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2,063.90 </w:t>
            </w:r>
          </w:p>
        </w:tc>
        <w:tc>
          <w:tcPr>
            <w:tcW w:w="0" w:type="auto"/>
            <w:shd w:val="clear" w:color="auto" w:fill="auto"/>
            <w:noWrap/>
            <w:vAlign w:val="bottom"/>
            <w:hideMark/>
          </w:tcPr>
          <w:p w14:paraId="17C1A9DA"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290.48 </w:t>
            </w:r>
          </w:p>
        </w:tc>
        <w:tc>
          <w:tcPr>
            <w:tcW w:w="0" w:type="auto"/>
            <w:shd w:val="clear" w:color="auto" w:fill="auto"/>
            <w:noWrap/>
            <w:vAlign w:val="bottom"/>
            <w:hideMark/>
          </w:tcPr>
          <w:p w14:paraId="7B9DDD2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1,078.00 </w:t>
            </w:r>
          </w:p>
        </w:tc>
        <w:tc>
          <w:tcPr>
            <w:tcW w:w="0" w:type="auto"/>
            <w:shd w:val="clear" w:color="auto" w:fill="auto"/>
            <w:noWrap/>
            <w:vAlign w:val="bottom"/>
            <w:hideMark/>
          </w:tcPr>
          <w:p w14:paraId="7239C32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2.00 </w:t>
            </w:r>
          </w:p>
        </w:tc>
        <w:tc>
          <w:tcPr>
            <w:tcW w:w="0" w:type="auto"/>
            <w:shd w:val="clear" w:color="auto" w:fill="auto"/>
            <w:noWrap/>
            <w:vAlign w:val="bottom"/>
            <w:hideMark/>
          </w:tcPr>
          <w:p w14:paraId="2D01CDE6"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1,978.09 </w:t>
            </w:r>
          </w:p>
        </w:tc>
        <w:tc>
          <w:tcPr>
            <w:tcW w:w="0" w:type="auto"/>
            <w:shd w:val="clear" w:color="auto" w:fill="auto"/>
            <w:noWrap/>
            <w:vAlign w:val="bottom"/>
            <w:hideMark/>
          </w:tcPr>
          <w:p w14:paraId="3944B2B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1B88FF3C"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7,401.43 </w:t>
            </w:r>
          </w:p>
        </w:tc>
      </w:tr>
      <w:tr w:rsidR="0009676B" w:rsidRPr="006E04D7" w14:paraId="77D85A7B" w14:textId="77777777" w:rsidTr="0009676B">
        <w:trPr>
          <w:trHeight w:val="271"/>
        </w:trPr>
        <w:tc>
          <w:tcPr>
            <w:tcW w:w="1129" w:type="dxa"/>
            <w:shd w:val="clear" w:color="auto" w:fill="auto"/>
            <w:noWrap/>
            <w:vAlign w:val="bottom"/>
            <w:hideMark/>
          </w:tcPr>
          <w:p w14:paraId="2DB01780"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2005</w:t>
            </w:r>
          </w:p>
        </w:tc>
        <w:tc>
          <w:tcPr>
            <w:tcW w:w="412" w:type="dxa"/>
            <w:shd w:val="clear" w:color="auto" w:fill="auto"/>
            <w:noWrap/>
            <w:vAlign w:val="bottom"/>
            <w:hideMark/>
          </w:tcPr>
          <w:p w14:paraId="5782558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2,282.29 </w:t>
            </w:r>
          </w:p>
        </w:tc>
        <w:tc>
          <w:tcPr>
            <w:tcW w:w="0" w:type="auto"/>
            <w:shd w:val="clear" w:color="auto" w:fill="auto"/>
            <w:noWrap/>
            <w:vAlign w:val="bottom"/>
            <w:hideMark/>
          </w:tcPr>
          <w:p w14:paraId="3E18EA1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11.31 </w:t>
            </w:r>
          </w:p>
        </w:tc>
        <w:tc>
          <w:tcPr>
            <w:tcW w:w="0" w:type="auto"/>
            <w:shd w:val="clear" w:color="auto" w:fill="auto"/>
            <w:noWrap/>
            <w:vAlign w:val="bottom"/>
            <w:hideMark/>
          </w:tcPr>
          <w:p w14:paraId="5CD8AB4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2,700.45 </w:t>
            </w:r>
          </w:p>
        </w:tc>
        <w:tc>
          <w:tcPr>
            <w:tcW w:w="0" w:type="auto"/>
            <w:shd w:val="clear" w:color="auto" w:fill="auto"/>
            <w:noWrap/>
            <w:vAlign w:val="bottom"/>
            <w:hideMark/>
          </w:tcPr>
          <w:p w14:paraId="7F307EF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423.85 </w:t>
            </w:r>
          </w:p>
        </w:tc>
        <w:tc>
          <w:tcPr>
            <w:tcW w:w="0" w:type="auto"/>
            <w:shd w:val="clear" w:color="auto" w:fill="auto"/>
            <w:noWrap/>
            <w:vAlign w:val="bottom"/>
            <w:hideMark/>
          </w:tcPr>
          <w:p w14:paraId="02849DD6"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1,197.32 </w:t>
            </w:r>
          </w:p>
        </w:tc>
        <w:tc>
          <w:tcPr>
            <w:tcW w:w="0" w:type="auto"/>
            <w:shd w:val="clear" w:color="auto" w:fill="auto"/>
            <w:noWrap/>
            <w:vAlign w:val="bottom"/>
            <w:hideMark/>
          </w:tcPr>
          <w:p w14:paraId="34A7B9D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21912F32"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2,407.90 </w:t>
            </w:r>
          </w:p>
        </w:tc>
        <w:tc>
          <w:tcPr>
            <w:tcW w:w="0" w:type="auto"/>
            <w:shd w:val="clear" w:color="auto" w:fill="auto"/>
            <w:noWrap/>
            <w:vAlign w:val="bottom"/>
            <w:hideMark/>
          </w:tcPr>
          <w:p w14:paraId="59CC639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111543D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9,023.12 </w:t>
            </w:r>
          </w:p>
        </w:tc>
      </w:tr>
      <w:tr w:rsidR="0009676B" w:rsidRPr="006E04D7" w14:paraId="66B2EA16" w14:textId="77777777" w:rsidTr="0009676B">
        <w:trPr>
          <w:trHeight w:val="271"/>
        </w:trPr>
        <w:tc>
          <w:tcPr>
            <w:tcW w:w="1129" w:type="dxa"/>
            <w:shd w:val="clear" w:color="auto" w:fill="auto"/>
            <w:noWrap/>
            <w:vAlign w:val="bottom"/>
            <w:hideMark/>
          </w:tcPr>
          <w:p w14:paraId="4214168C"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2006</w:t>
            </w:r>
          </w:p>
        </w:tc>
        <w:tc>
          <w:tcPr>
            <w:tcW w:w="412" w:type="dxa"/>
            <w:shd w:val="clear" w:color="auto" w:fill="auto"/>
            <w:noWrap/>
            <w:vAlign w:val="bottom"/>
            <w:hideMark/>
          </w:tcPr>
          <w:p w14:paraId="17B1C810"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1,262.57 </w:t>
            </w:r>
          </w:p>
        </w:tc>
        <w:tc>
          <w:tcPr>
            <w:tcW w:w="0" w:type="auto"/>
            <w:shd w:val="clear" w:color="auto" w:fill="auto"/>
            <w:noWrap/>
            <w:vAlign w:val="bottom"/>
            <w:hideMark/>
          </w:tcPr>
          <w:p w14:paraId="1A54C111"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4.24 </w:t>
            </w:r>
          </w:p>
        </w:tc>
        <w:tc>
          <w:tcPr>
            <w:tcW w:w="0" w:type="auto"/>
            <w:shd w:val="clear" w:color="auto" w:fill="auto"/>
            <w:noWrap/>
            <w:vAlign w:val="bottom"/>
            <w:hideMark/>
          </w:tcPr>
          <w:p w14:paraId="407F65F1"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2,033.02 </w:t>
            </w:r>
          </w:p>
        </w:tc>
        <w:tc>
          <w:tcPr>
            <w:tcW w:w="0" w:type="auto"/>
            <w:shd w:val="clear" w:color="auto" w:fill="auto"/>
            <w:noWrap/>
            <w:vAlign w:val="bottom"/>
            <w:hideMark/>
          </w:tcPr>
          <w:p w14:paraId="7276B44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831.25 </w:t>
            </w:r>
          </w:p>
        </w:tc>
        <w:tc>
          <w:tcPr>
            <w:tcW w:w="0" w:type="auto"/>
            <w:shd w:val="clear" w:color="auto" w:fill="auto"/>
            <w:noWrap/>
            <w:vAlign w:val="bottom"/>
            <w:hideMark/>
          </w:tcPr>
          <w:p w14:paraId="4EEFE170"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407.91 </w:t>
            </w:r>
          </w:p>
        </w:tc>
        <w:tc>
          <w:tcPr>
            <w:tcW w:w="0" w:type="auto"/>
            <w:shd w:val="clear" w:color="auto" w:fill="auto"/>
            <w:noWrap/>
            <w:vAlign w:val="bottom"/>
            <w:hideMark/>
          </w:tcPr>
          <w:p w14:paraId="63A85C1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95.15 </w:t>
            </w:r>
          </w:p>
        </w:tc>
        <w:tc>
          <w:tcPr>
            <w:tcW w:w="0" w:type="auto"/>
            <w:shd w:val="clear" w:color="auto" w:fill="auto"/>
            <w:noWrap/>
            <w:vAlign w:val="bottom"/>
            <w:hideMark/>
          </w:tcPr>
          <w:p w14:paraId="4CE155AA"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2,894.75 </w:t>
            </w:r>
          </w:p>
        </w:tc>
        <w:tc>
          <w:tcPr>
            <w:tcW w:w="0" w:type="auto"/>
            <w:shd w:val="clear" w:color="auto" w:fill="auto"/>
            <w:noWrap/>
            <w:vAlign w:val="bottom"/>
            <w:hideMark/>
          </w:tcPr>
          <w:p w14:paraId="7BA031E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4BA727E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7,528.89 </w:t>
            </w:r>
          </w:p>
        </w:tc>
      </w:tr>
      <w:tr w:rsidR="0009676B" w:rsidRPr="006E04D7" w14:paraId="59DC6399" w14:textId="77777777" w:rsidTr="0009676B">
        <w:trPr>
          <w:trHeight w:val="271"/>
        </w:trPr>
        <w:tc>
          <w:tcPr>
            <w:tcW w:w="1129" w:type="dxa"/>
            <w:shd w:val="clear" w:color="auto" w:fill="auto"/>
            <w:noWrap/>
            <w:vAlign w:val="bottom"/>
            <w:hideMark/>
          </w:tcPr>
          <w:p w14:paraId="78CB4307"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2007</w:t>
            </w:r>
          </w:p>
        </w:tc>
        <w:tc>
          <w:tcPr>
            <w:tcW w:w="412" w:type="dxa"/>
            <w:shd w:val="clear" w:color="auto" w:fill="auto"/>
            <w:noWrap/>
            <w:vAlign w:val="bottom"/>
            <w:hideMark/>
          </w:tcPr>
          <w:p w14:paraId="28D7591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2,435.77 </w:t>
            </w:r>
          </w:p>
        </w:tc>
        <w:tc>
          <w:tcPr>
            <w:tcW w:w="0" w:type="auto"/>
            <w:shd w:val="clear" w:color="auto" w:fill="auto"/>
            <w:noWrap/>
            <w:vAlign w:val="bottom"/>
            <w:hideMark/>
          </w:tcPr>
          <w:p w14:paraId="68823A7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10.41 </w:t>
            </w:r>
          </w:p>
        </w:tc>
        <w:tc>
          <w:tcPr>
            <w:tcW w:w="0" w:type="auto"/>
            <w:shd w:val="clear" w:color="auto" w:fill="auto"/>
            <w:noWrap/>
            <w:vAlign w:val="bottom"/>
            <w:hideMark/>
          </w:tcPr>
          <w:p w14:paraId="670B043C"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1,704.88 </w:t>
            </w:r>
          </w:p>
        </w:tc>
        <w:tc>
          <w:tcPr>
            <w:tcW w:w="0" w:type="auto"/>
            <w:shd w:val="clear" w:color="auto" w:fill="auto"/>
            <w:noWrap/>
            <w:vAlign w:val="bottom"/>
            <w:hideMark/>
          </w:tcPr>
          <w:p w14:paraId="2CAE536E"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501.38 </w:t>
            </w:r>
          </w:p>
        </w:tc>
        <w:tc>
          <w:tcPr>
            <w:tcW w:w="0" w:type="auto"/>
            <w:shd w:val="clear" w:color="auto" w:fill="auto"/>
            <w:noWrap/>
            <w:vAlign w:val="bottom"/>
            <w:hideMark/>
          </w:tcPr>
          <w:p w14:paraId="36C37070"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02BD4B7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0.63 </w:t>
            </w:r>
          </w:p>
        </w:tc>
        <w:tc>
          <w:tcPr>
            <w:tcW w:w="0" w:type="auto"/>
            <w:shd w:val="clear" w:color="auto" w:fill="auto"/>
            <w:noWrap/>
            <w:vAlign w:val="bottom"/>
            <w:hideMark/>
          </w:tcPr>
          <w:p w14:paraId="3305A2D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3,787.92 </w:t>
            </w:r>
          </w:p>
        </w:tc>
        <w:tc>
          <w:tcPr>
            <w:tcW w:w="0" w:type="auto"/>
            <w:shd w:val="clear" w:color="auto" w:fill="auto"/>
            <w:noWrap/>
            <w:vAlign w:val="bottom"/>
            <w:hideMark/>
          </w:tcPr>
          <w:p w14:paraId="7A462226"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0.16 </w:t>
            </w:r>
          </w:p>
        </w:tc>
        <w:tc>
          <w:tcPr>
            <w:tcW w:w="0" w:type="auto"/>
            <w:shd w:val="clear" w:color="auto" w:fill="auto"/>
            <w:noWrap/>
            <w:vAlign w:val="bottom"/>
            <w:hideMark/>
          </w:tcPr>
          <w:p w14:paraId="6F98F42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8,441.15 </w:t>
            </w:r>
          </w:p>
        </w:tc>
      </w:tr>
      <w:tr w:rsidR="0009676B" w:rsidRPr="006E04D7" w14:paraId="00D8042F" w14:textId="77777777" w:rsidTr="0009676B">
        <w:trPr>
          <w:trHeight w:val="271"/>
        </w:trPr>
        <w:tc>
          <w:tcPr>
            <w:tcW w:w="1129" w:type="dxa"/>
            <w:shd w:val="clear" w:color="auto" w:fill="auto"/>
            <w:noWrap/>
            <w:vAlign w:val="bottom"/>
            <w:hideMark/>
          </w:tcPr>
          <w:p w14:paraId="76E5CB28"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2008</w:t>
            </w:r>
          </w:p>
        </w:tc>
        <w:tc>
          <w:tcPr>
            <w:tcW w:w="412" w:type="dxa"/>
            <w:shd w:val="clear" w:color="auto" w:fill="auto"/>
            <w:noWrap/>
            <w:vAlign w:val="bottom"/>
            <w:hideMark/>
          </w:tcPr>
          <w:p w14:paraId="68AFB0E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2,393.39 </w:t>
            </w:r>
          </w:p>
        </w:tc>
        <w:tc>
          <w:tcPr>
            <w:tcW w:w="0" w:type="auto"/>
            <w:shd w:val="clear" w:color="auto" w:fill="auto"/>
            <w:noWrap/>
            <w:vAlign w:val="bottom"/>
            <w:hideMark/>
          </w:tcPr>
          <w:p w14:paraId="37231D16"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6.28 </w:t>
            </w:r>
          </w:p>
        </w:tc>
        <w:tc>
          <w:tcPr>
            <w:tcW w:w="0" w:type="auto"/>
            <w:shd w:val="clear" w:color="auto" w:fill="auto"/>
            <w:noWrap/>
            <w:vAlign w:val="bottom"/>
            <w:hideMark/>
          </w:tcPr>
          <w:p w14:paraId="591F962E"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2,491.22 </w:t>
            </w:r>
          </w:p>
        </w:tc>
        <w:tc>
          <w:tcPr>
            <w:tcW w:w="0" w:type="auto"/>
            <w:shd w:val="clear" w:color="auto" w:fill="auto"/>
            <w:noWrap/>
            <w:vAlign w:val="bottom"/>
            <w:hideMark/>
          </w:tcPr>
          <w:p w14:paraId="2BD13D9A"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181.02 </w:t>
            </w:r>
          </w:p>
        </w:tc>
        <w:tc>
          <w:tcPr>
            <w:tcW w:w="0" w:type="auto"/>
            <w:shd w:val="clear" w:color="auto" w:fill="auto"/>
            <w:noWrap/>
            <w:vAlign w:val="bottom"/>
            <w:hideMark/>
          </w:tcPr>
          <w:p w14:paraId="1534FD16"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2CDDFB0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5.45 </w:t>
            </w:r>
          </w:p>
        </w:tc>
        <w:tc>
          <w:tcPr>
            <w:tcW w:w="0" w:type="auto"/>
            <w:shd w:val="clear" w:color="auto" w:fill="auto"/>
            <w:noWrap/>
            <w:vAlign w:val="bottom"/>
            <w:hideMark/>
          </w:tcPr>
          <w:p w14:paraId="5AF4F531"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3,165.65 </w:t>
            </w:r>
          </w:p>
        </w:tc>
        <w:tc>
          <w:tcPr>
            <w:tcW w:w="0" w:type="auto"/>
            <w:shd w:val="clear" w:color="auto" w:fill="auto"/>
            <w:noWrap/>
            <w:vAlign w:val="bottom"/>
            <w:hideMark/>
          </w:tcPr>
          <w:p w14:paraId="026F3FF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00F6383C"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8,243.00 </w:t>
            </w:r>
          </w:p>
        </w:tc>
      </w:tr>
      <w:tr w:rsidR="0009676B" w:rsidRPr="006E04D7" w14:paraId="125BE321" w14:textId="77777777" w:rsidTr="0009676B">
        <w:trPr>
          <w:trHeight w:val="271"/>
        </w:trPr>
        <w:tc>
          <w:tcPr>
            <w:tcW w:w="1129" w:type="dxa"/>
            <w:shd w:val="clear" w:color="auto" w:fill="auto"/>
            <w:noWrap/>
            <w:vAlign w:val="bottom"/>
            <w:hideMark/>
          </w:tcPr>
          <w:p w14:paraId="7A2533E4"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2009</w:t>
            </w:r>
          </w:p>
        </w:tc>
        <w:tc>
          <w:tcPr>
            <w:tcW w:w="412" w:type="dxa"/>
            <w:shd w:val="clear" w:color="auto" w:fill="auto"/>
            <w:noWrap/>
            <w:vAlign w:val="bottom"/>
            <w:hideMark/>
          </w:tcPr>
          <w:p w14:paraId="0044A11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1,259.57 </w:t>
            </w:r>
          </w:p>
        </w:tc>
        <w:tc>
          <w:tcPr>
            <w:tcW w:w="0" w:type="auto"/>
            <w:shd w:val="clear" w:color="auto" w:fill="auto"/>
            <w:noWrap/>
            <w:vAlign w:val="bottom"/>
            <w:hideMark/>
          </w:tcPr>
          <w:p w14:paraId="63E453D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1.98 </w:t>
            </w:r>
          </w:p>
        </w:tc>
        <w:tc>
          <w:tcPr>
            <w:tcW w:w="0" w:type="auto"/>
            <w:shd w:val="clear" w:color="auto" w:fill="auto"/>
            <w:noWrap/>
            <w:vAlign w:val="bottom"/>
            <w:hideMark/>
          </w:tcPr>
          <w:p w14:paraId="4971DF5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1,951.15 </w:t>
            </w:r>
          </w:p>
        </w:tc>
        <w:tc>
          <w:tcPr>
            <w:tcW w:w="0" w:type="auto"/>
            <w:shd w:val="clear" w:color="auto" w:fill="auto"/>
            <w:noWrap/>
            <w:vAlign w:val="bottom"/>
            <w:hideMark/>
          </w:tcPr>
          <w:p w14:paraId="3092BCBE"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296.77 </w:t>
            </w:r>
          </w:p>
        </w:tc>
        <w:tc>
          <w:tcPr>
            <w:tcW w:w="0" w:type="auto"/>
            <w:shd w:val="clear" w:color="auto" w:fill="auto"/>
            <w:noWrap/>
            <w:vAlign w:val="bottom"/>
            <w:hideMark/>
          </w:tcPr>
          <w:p w14:paraId="085F833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1.72 </w:t>
            </w:r>
          </w:p>
        </w:tc>
        <w:tc>
          <w:tcPr>
            <w:tcW w:w="0" w:type="auto"/>
            <w:shd w:val="clear" w:color="auto" w:fill="auto"/>
            <w:noWrap/>
            <w:vAlign w:val="bottom"/>
            <w:hideMark/>
          </w:tcPr>
          <w:p w14:paraId="5339A5A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8.93 </w:t>
            </w:r>
          </w:p>
        </w:tc>
        <w:tc>
          <w:tcPr>
            <w:tcW w:w="0" w:type="auto"/>
            <w:shd w:val="clear" w:color="auto" w:fill="auto"/>
            <w:noWrap/>
            <w:vAlign w:val="bottom"/>
            <w:hideMark/>
          </w:tcPr>
          <w:p w14:paraId="6595CFB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3,164.36 </w:t>
            </w:r>
          </w:p>
        </w:tc>
        <w:tc>
          <w:tcPr>
            <w:tcW w:w="0" w:type="auto"/>
            <w:shd w:val="clear" w:color="auto" w:fill="auto"/>
            <w:noWrap/>
            <w:vAlign w:val="bottom"/>
            <w:hideMark/>
          </w:tcPr>
          <w:p w14:paraId="3F4F631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63997CF6"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6,684.48 </w:t>
            </w:r>
          </w:p>
        </w:tc>
      </w:tr>
      <w:tr w:rsidR="0009676B" w:rsidRPr="006E04D7" w14:paraId="222E1A93" w14:textId="77777777" w:rsidTr="0009676B">
        <w:trPr>
          <w:trHeight w:val="271"/>
        </w:trPr>
        <w:tc>
          <w:tcPr>
            <w:tcW w:w="1129" w:type="dxa"/>
            <w:shd w:val="clear" w:color="auto" w:fill="auto"/>
            <w:noWrap/>
            <w:vAlign w:val="bottom"/>
            <w:hideMark/>
          </w:tcPr>
          <w:p w14:paraId="6A2522D5"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2010</w:t>
            </w:r>
          </w:p>
        </w:tc>
        <w:tc>
          <w:tcPr>
            <w:tcW w:w="412" w:type="dxa"/>
            <w:shd w:val="clear" w:color="auto" w:fill="auto"/>
            <w:noWrap/>
            <w:vAlign w:val="bottom"/>
            <w:hideMark/>
          </w:tcPr>
          <w:p w14:paraId="2DB627E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724.53 </w:t>
            </w:r>
          </w:p>
        </w:tc>
        <w:tc>
          <w:tcPr>
            <w:tcW w:w="0" w:type="auto"/>
            <w:shd w:val="clear" w:color="auto" w:fill="auto"/>
            <w:noWrap/>
            <w:vAlign w:val="bottom"/>
            <w:hideMark/>
          </w:tcPr>
          <w:p w14:paraId="4025EA0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20.94 </w:t>
            </w:r>
          </w:p>
        </w:tc>
        <w:tc>
          <w:tcPr>
            <w:tcW w:w="0" w:type="auto"/>
            <w:shd w:val="clear" w:color="auto" w:fill="auto"/>
            <w:noWrap/>
            <w:vAlign w:val="bottom"/>
            <w:hideMark/>
          </w:tcPr>
          <w:p w14:paraId="098F632A"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1,193.51 </w:t>
            </w:r>
          </w:p>
        </w:tc>
        <w:tc>
          <w:tcPr>
            <w:tcW w:w="0" w:type="auto"/>
            <w:shd w:val="clear" w:color="auto" w:fill="auto"/>
            <w:noWrap/>
            <w:vAlign w:val="bottom"/>
            <w:hideMark/>
          </w:tcPr>
          <w:p w14:paraId="5CDBEF3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123.85 </w:t>
            </w:r>
          </w:p>
        </w:tc>
        <w:tc>
          <w:tcPr>
            <w:tcW w:w="0" w:type="auto"/>
            <w:shd w:val="clear" w:color="auto" w:fill="auto"/>
            <w:noWrap/>
            <w:vAlign w:val="bottom"/>
            <w:hideMark/>
          </w:tcPr>
          <w:p w14:paraId="7C74EA3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0.63 </w:t>
            </w:r>
          </w:p>
        </w:tc>
        <w:tc>
          <w:tcPr>
            <w:tcW w:w="0" w:type="auto"/>
            <w:shd w:val="clear" w:color="auto" w:fill="auto"/>
            <w:noWrap/>
            <w:vAlign w:val="bottom"/>
            <w:hideMark/>
          </w:tcPr>
          <w:p w14:paraId="2C4A4CF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22.98 </w:t>
            </w:r>
          </w:p>
        </w:tc>
        <w:tc>
          <w:tcPr>
            <w:tcW w:w="0" w:type="auto"/>
            <w:shd w:val="clear" w:color="auto" w:fill="auto"/>
            <w:noWrap/>
            <w:vAlign w:val="bottom"/>
            <w:hideMark/>
          </w:tcPr>
          <w:p w14:paraId="3978A6C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2,292.47 </w:t>
            </w:r>
          </w:p>
        </w:tc>
        <w:tc>
          <w:tcPr>
            <w:tcW w:w="0" w:type="auto"/>
            <w:shd w:val="clear" w:color="auto" w:fill="auto"/>
            <w:noWrap/>
            <w:vAlign w:val="bottom"/>
            <w:hideMark/>
          </w:tcPr>
          <w:p w14:paraId="64A31FD2"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61089AF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4,378.90 </w:t>
            </w:r>
          </w:p>
        </w:tc>
      </w:tr>
      <w:tr w:rsidR="0009676B" w:rsidRPr="006E04D7" w14:paraId="1769C00A" w14:textId="77777777" w:rsidTr="0009676B">
        <w:trPr>
          <w:trHeight w:val="271"/>
        </w:trPr>
        <w:tc>
          <w:tcPr>
            <w:tcW w:w="1129" w:type="dxa"/>
            <w:shd w:val="clear" w:color="auto" w:fill="auto"/>
            <w:noWrap/>
            <w:vAlign w:val="bottom"/>
            <w:hideMark/>
          </w:tcPr>
          <w:p w14:paraId="5DBE4441"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2011</w:t>
            </w:r>
          </w:p>
        </w:tc>
        <w:tc>
          <w:tcPr>
            <w:tcW w:w="412" w:type="dxa"/>
            <w:shd w:val="clear" w:color="auto" w:fill="auto"/>
            <w:noWrap/>
            <w:vAlign w:val="bottom"/>
            <w:hideMark/>
          </w:tcPr>
          <w:p w14:paraId="674D5D0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635.91 </w:t>
            </w:r>
          </w:p>
        </w:tc>
        <w:tc>
          <w:tcPr>
            <w:tcW w:w="0" w:type="auto"/>
            <w:shd w:val="clear" w:color="auto" w:fill="auto"/>
            <w:noWrap/>
            <w:vAlign w:val="bottom"/>
            <w:hideMark/>
          </w:tcPr>
          <w:p w14:paraId="1DF7F46C"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18.94 </w:t>
            </w:r>
          </w:p>
        </w:tc>
        <w:tc>
          <w:tcPr>
            <w:tcW w:w="0" w:type="auto"/>
            <w:shd w:val="clear" w:color="auto" w:fill="auto"/>
            <w:noWrap/>
            <w:vAlign w:val="bottom"/>
            <w:hideMark/>
          </w:tcPr>
          <w:p w14:paraId="4C68A342"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1,124.75 </w:t>
            </w:r>
          </w:p>
        </w:tc>
        <w:tc>
          <w:tcPr>
            <w:tcW w:w="0" w:type="auto"/>
            <w:shd w:val="clear" w:color="auto" w:fill="auto"/>
            <w:noWrap/>
            <w:vAlign w:val="bottom"/>
            <w:hideMark/>
          </w:tcPr>
          <w:p w14:paraId="654BF48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34.87 </w:t>
            </w:r>
          </w:p>
        </w:tc>
        <w:tc>
          <w:tcPr>
            <w:tcW w:w="0" w:type="auto"/>
            <w:shd w:val="clear" w:color="auto" w:fill="auto"/>
            <w:noWrap/>
            <w:vAlign w:val="bottom"/>
            <w:hideMark/>
          </w:tcPr>
          <w:p w14:paraId="2DF0481E"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0.33 </w:t>
            </w:r>
          </w:p>
        </w:tc>
        <w:tc>
          <w:tcPr>
            <w:tcW w:w="0" w:type="auto"/>
            <w:shd w:val="clear" w:color="auto" w:fill="auto"/>
            <w:noWrap/>
            <w:vAlign w:val="bottom"/>
            <w:hideMark/>
          </w:tcPr>
          <w:p w14:paraId="760B6A6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32.19 </w:t>
            </w:r>
          </w:p>
        </w:tc>
        <w:tc>
          <w:tcPr>
            <w:tcW w:w="0" w:type="auto"/>
            <w:shd w:val="clear" w:color="auto" w:fill="auto"/>
            <w:noWrap/>
            <w:vAlign w:val="bottom"/>
            <w:hideMark/>
          </w:tcPr>
          <w:p w14:paraId="2EFE0AD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2,136.83 </w:t>
            </w:r>
          </w:p>
        </w:tc>
        <w:tc>
          <w:tcPr>
            <w:tcW w:w="0" w:type="auto"/>
            <w:shd w:val="clear" w:color="auto" w:fill="auto"/>
            <w:noWrap/>
            <w:vAlign w:val="bottom"/>
            <w:hideMark/>
          </w:tcPr>
          <w:p w14:paraId="62F3E6D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41EC0ADE"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3,983.83 </w:t>
            </w:r>
          </w:p>
        </w:tc>
      </w:tr>
      <w:tr w:rsidR="0009676B" w:rsidRPr="006E04D7" w14:paraId="16BDB484" w14:textId="77777777" w:rsidTr="0009676B">
        <w:trPr>
          <w:trHeight w:val="271"/>
        </w:trPr>
        <w:tc>
          <w:tcPr>
            <w:tcW w:w="1129" w:type="dxa"/>
            <w:shd w:val="clear" w:color="auto" w:fill="auto"/>
            <w:noWrap/>
            <w:vAlign w:val="bottom"/>
            <w:hideMark/>
          </w:tcPr>
          <w:p w14:paraId="4EF90DDB"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2012</w:t>
            </w:r>
          </w:p>
        </w:tc>
        <w:tc>
          <w:tcPr>
            <w:tcW w:w="412" w:type="dxa"/>
            <w:shd w:val="clear" w:color="auto" w:fill="auto"/>
            <w:noWrap/>
            <w:vAlign w:val="bottom"/>
            <w:hideMark/>
          </w:tcPr>
          <w:p w14:paraId="43957CA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282.88 </w:t>
            </w:r>
          </w:p>
        </w:tc>
        <w:tc>
          <w:tcPr>
            <w:tcW w:w="0" w:type="auto"/>
            <w:shd w:val="clear" w:color="auto" w:fill="auto"/>
            <w:noWrap/>
            <w:vAlign w:val="bottom"/>
            <w:hideMark/>
          </w:tcPr>
          <w:p w14:paraId="58DCC4D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25.34 </w:t>
            </w:r>
          </w:p>
        </w:tc>
        <w:tc>
          <w:tcPr>
            <w:tcW w:w="0" w:type="auto"/>
            <w:shd w:val="clear" w:color="auto" w:fill="auto"/>
            <w:noWrap/>
            <w:vAlign w:val="bottom"/>
            <w:hideMark/>
          </w:tcPr>
          <w:p w14:paraId="2877B38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1,138.82 </w:t>
            </w:r>
          </w:p>
        </w:tc>
        <w:tc>
          <w:tcPr>
            <w:tcW w:w="0" w:type="auto"/>
            <w:shd w:val="clear" w:color="auto" w:fill="auto"/>
            <w:noWrap/>
            <w:vAlign w:val="bottom"/>
            <w:hideMark/>
          </w:tcPr>
          <w:p w14:paraId="132F634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48.39 </w:t>
            </w:r>
          </w:p>
        </w:tc>
        <w:tc>
          <w:tcPr>
            <w:tcW w:w="0" w:type="auto"/>
            <w:shd w:val="clear" w:color="auto" w:fill="auto"/>
            <w:noWrap/>
            <w:vAlign w:val="bottom"/>
            <w:hideMark/>
          </w:tcPr>
          <w:p w14:paraId="1C00E38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69257D1E"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27.22 </w:t>
            </w:r>
          </w:p>
        </w:tc>
        <w:tc>
          <w:tcPr>
            <w:tcW w:w="0" w:type="auto"/>
            <w:shd w:val="clear" w:color="auto" w:fill="auto"/>
            <w:noWrap/>
            <w:vAlign w:val="bottom"/>
            <w:hideMark/>
          </w:tcPr>
          <w:p w14:paraId="5E3DE840"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2,311.36 </w:t>
            </w:r>
          </w:p>
        </w:tc>
        <w:tc>
          <w:tcPr>
            <w:tcW w:w="0" w:type="auto"/>
            <w:shd w:val="clear" w:color="auto" w:fill="auto"/>
            <w:noWrap/>
            <w:vAlign w:val="bottom"/>
            <w:hideMark/>
          </w:tcPr>
          <w:p w14:paraId="0803BED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12BDCF1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3,834.01 </w:t>
            </w:r>
          </w:p>
        </w:tc>
      </w:tr>
      <w:tr w:rsidR="0009676B" w:rsidRPr="006E04D7" w14:paraId="0B9F8AE3" w14:textId="77777777" w:rsidTr="0009676B">
        <w:trPr>
          <w:trHeight w:val="271"/>
        </w:trPr>
        <w:tc>
          <w:tcPr>
            <w:tcW w:w="1129" w:type="dxa"/>
            <w:shd w:val="clear" w:color="auto" w:fill="auto"/>
            <w:noWrap/>
            <w:vAlign w:val="bottom"/>
            <w:hideMark/>
          </w:tcPr>
          <w:p w14:paraId="06C2F0AB"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2013</w:t>
            </w:r>
          </w:p>
        </w:tc>
        <w:tc>
          <w:tcPr>
            <w:tcW w:w="412" w:type="dxa"/>
            <w:shd w:val="clear" w:color="auto" w:fill="auto"/>
            <w:noWrap/>
            <w:vAlign w:val="bottom"/>
            <w:hideMark/>
          </w:tcPr>
          <w:p w14:paraId="7F9772E2"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243.02 </w:t>
            </w:r>
          </w:p>
        </w:tc>
        <w:tc>
          <w:tcPr>
            <w:tcW w:w="0" w:type="auto"/>
            <w:shd w:val="clear" w:color="auto" w:fill="auto"/>
            <w:noWrap/>
            <w:vAlign w:val="bottom"/>
            <w:hideMark/>
          </w:tcPr>
          <w:p w14:paraId="701F531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20.69 </w:t>
            </w:r>
          </w:p>
        </w:tc>
        <w:tc>
          <w:tcPr>
            <w:tcW w:w="0" w:type="auto"/>
            <w:shd w:val="clear" w:color="auto" w:fill="auto"/>
            <w:noWrap/>
            <w:vAlign w:val="bottom"/>
            <w:hideMark/>
          </w:tcPr>
          <w:p w14:paraId="7CC3977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1,167.45 </w:t>
            </w:r>
          </w:p>
        </w:tc>
        <w:tc>
          <w:tcPr>
            <w:tcW w:w="0" w:type="auto"/>
            <w:shd w:val="clear" w:color="auto" w:fill="auto"/>
            <w:noWrap/>
            <w:vAlign w:val="bottom"/>
            <w:hideMark/>
          </w:tcPr>
          <w:p w14:paraId="76965850"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137.35 </w:t>
            </w:r>
          </w:p>
        </w:tc>
        <w:tc>
          <w:tcPr>
            <w:tcW w:w="0" w:type="auto"/>
            <w:shd w:val="clear" w:color="auto" w:fill="auto"/>
            <w:noWrap/>
            <w:vAlign w:val="bottom"/>
            <w:hideMark/>
          </w:tcPr>
          <w:p w14:paraId="00C6FC2A"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1.46 </w:t>
            </w:r>
          </w:p>
        </w:tc>
        <w:tc>
          <w:tcPr>
            <w:tcW w:w="0" w:type="auto"/>
            <w:shd w:val="clear" w:color="auto" w:fill="auto"/>
            <w:noWrap/>
            <w:vAlign w:val="bottom"/>
            <w:hideMark/>
          </w:tcPr>
          <w:p w14:paraId="6CC4778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25.70 </w:t>
            </w:r>
          </w:p>
        </w:tc>
        <w:tc>
          <w:tcPr>
            <w:tcW w:w="0" w:type="auto"/>
            <w:shd w:val="clear" w:color="auto" w:fill="auto"/>
            <w:noWrap/>
            <w:vAlign w:val="bottom"/>
            <w:hideMark/>
          </w:tcPr>
          <w:p w14:paraId="482B411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2,563.64 </w:t>
            </w:r>
          </w:p>
        </w:tc>
        <w:tc>
          <w:tcPr>
            <w:tcW w:w="0" w:type="auto"/>
            <w:shd w:val="clear" w:color="auto" w:fill="auto"/>
            <w:noWrap/>
            <w:vAlign w:val="bottom"/>
            <w:hideMark/>
          </w:tcPr>
          <w:p w14:paraId="3E6C6E0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3.12 </w:t>
            </w:r>
          </w:p>
        </w:tc>
        <w:tc>
          <w:tcPr>
            <w:tcW w:w="0" w:type="auto"/>
            <w:shd w:val="clear" w:color="auto" w:fill="auto"/>
            <w:noWrap/>
            <w:vAlign w:val="bottom"/>
            <w:hideMark/>
          </w:tcPr>
          <w:p w14:paraId="60C54972"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4,162.43 </w:t>
            </w:r>
          </w:p>
        </w:tc>
      </w:tr>
      <w:tr w:rsidR="0009676B" w:rsidRPr="006E04D7" w14:paraId="5B8F8128" w14:textId="77777777" w:rsidTr="0009676B">
        <w:trPr>
          <w:trHeight w:val="271"/>
        </w:trPr>
        <w:tc>
          <w:tcPr>
            <w:tcW w:w="1129" w:type="dxa"/>
            <w:shd w:val="clear" w:color="auto" w:fill="auto"/>
            <w:noWrap/>
            <w:vAlign w:val="bottom"/>
            <w:hideMark/>
          </w:tcPr>
          <w:p w14:paraId="029FCC3C"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2014</w:t>
            </w:r>
          </w:p>
        </w:tc>
        <w:tc>
          <w:tcPr>
            <w:tcW w:w="412" w:type="dxa"/>
            <w:shd w:val="clear" w:color="auto" w:fill="auto"/>
            <w:noWrap/>
            <w:vAlign w:val="bottom"/>
            <w:hideMark/>
          </w:tcPr>
          <w:p w14:paraId="476ABBE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94.58 </w:t>
            </w:r>
          </w:p>
        </w:tc>
        <w:tc>
          <w:tcPr>
            <w:tcW w:w="0" w:type="auto"/>
            <w:shd w:val="clear" w:color="auto" w:fill="auto"/>
            <w:noWrap/>
            <w:vAlign w:val="bottom"/>
            <w:hideMark/>
          </w:tcPr>
          <w:p w14:paraId="64B6E61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16.33 </w:t>
            </w:r>
          </w:p>
        </w:tc>
        <w:tc>
          <w:tcPr>
            <w:tcW w:w="0" w:type="auto"/>
            <w:shd w:val="clear" w:color="auto" w:fill="auto"/>
            <w:noWrap/>
            <w:vAlign w:val="bottom"/>
            <w:hideMark/>
          </w:tcPr>
          <w:p w14:paraId="57A6873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1,194.02 </w:t>
            </w:r>
          </w:p>
        </w:tc>
        <w:tc>
          <w:tcPr>
            <w:tcW w:w="0" w:type="auto"/>
            <w:shd w:val="clear" w:color="auto" w:fill="auto"/>
            <w:noWrap/>
            <w:vAlign w:val="bottom"/>
            <w:hideMark/>
          </w:tcPr>
          <w:p w14:paraId="2A9DB73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145.55 </w:t>
            </w:r>
          </w:p>
        </w:tc>
        <w:tc>
          <w:tcPr>
            <w:tcW w:w="0" w:type="auto"/>
            <w:shd w:val="clear" w:color="auto" w:fill="auto"/>
            <w:noWrap/>
            <w:vAlign w:val="bottom"/>
            <w:hideMark/>
          </w:tcPr>
          <w:p w14:paraId="7F8ADDA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0D66F2C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26.44 </w:t>
            </w:r>
          </w:p>
        </w:tc>
        <w:tc>
          <w:tcPr>
            <w:tcW w:w="0" w:type="auto"/>
            <w:shd w:val="clear" w:color="auto" w:fill="auto"/>
            <w:noWrap/>
            <w:vAlign w:val="bottom"/>
            <w:hideMark/>
          </w:tcPr>
          <w:p w14:paraId="417C169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2,375.93 </w:t>
            </w:r>
          </w:p>
        </w:tc>
        <w:tc>
          <w:tcPr>
            <w:tcW w:w="0" w:type="auto"/>
            <w:shd w:val="clear" w:color="auto" w:fill="auto"/>
            <w:noWrap/>
            <w:vAlign w:val="bottom"/>
            <w:hideMark/>
          </w:tcPr>
          <w:p w14:paraId="507C042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64.69 </w:t>
            </w:r>
          </w:p>
        </w:tc>
        <w:tc>
          <w:tcPr>
            <w:tcW w:w="0" w:type="auto"/>
            <w:shd w:val="clear" w:color="auto" w:fill="auto"/>
            <w:noWrap/>
            <w:vAlign w:val="bottom"/>
            <w:hideMark/>
          </w:tcPr>
          <w:p w14:paraId="40B785A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3,917.54 </w:t>
            </w:r>
          </w:p>
        </w:tc>
      </w:tr>
      <w:tr w:rsidR="0009676B" w:rsidRPr="006E04D7" w14:paraId="3D2EC945" w14:textId="77777777" w:rsidTr="0009676B">
        <w:trPr>
          <w:trHeight w:val="271"/>
        </w:trPr>
        <w:tc>
          <w:tcPr>
            <w:tcW w:w="1129" w:type="dxa"/>
            <w:shd w:val="clear" w:color="auto" w:fill="auto"/>
            <w:noWrap/>
            <w:vAlign w:val="bottom"/>
            <w:hideMark/>
          </w:tcPr>
          <w:p w14:paraId="2B5AB06D"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2015</w:t>
            </w:r>
          </w:p>
        </w:tc>
        <w:tc>
          <w:tcPr>
            <w:tcW w:w="412" w:type="dxa"/>
            <w:shd w:val="clear" w:color="auto" w:fill="auto"/>
            <w:noWrap/>
            <w:vAlign w:val="bottom"/>
            <w:hideMark/>
          </w:tcPr>
          <w:p w14:paraId="512F17B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171.68 </w:t>
            </w:r>
          </w:p>
        </w:tc>
        <w:tc>
          <w:tcPr>
            <w:tcW w:w="0" w:type="auto"/>
            <w:shd w:val="clear" w:color="auto" w:fill="auto"/>
            <w:noWrap/>
            <w:vAlign w:val="bottom"/>
            <w:hideMark/>
          </w:tcPr>
          <w:p w14:paraId="16ADCAA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60.35 </w:t>
            </w:r>
          </w:p>
        </w:tc>
        <w:tc>
          <w:tcPr>
            <w:tcW w:w="0" w:type="auto"/>
            <w:shd w:val="clear" w:color="auto" w:fill="auto"/>
            <w:noWrap/>
            <w:vAlign w:val="bottom"/>
            <w:hideMark/>
          </w:tcPr>
          <w:p w14:paraId="2445511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1,466.53 </w:t>
            </w:r>
          </w:p>
        </w:tc>
        <w:tc>
          <w:tcPr>
            <w:tcW w:w="0" w:type="auto"/>
            <w:shd w:val="clear" w:color="auto" w:fill="auto"/>
            <w:noWrap/>
            <w:vAlign w:val="bottom"/>
            <w:hideMark/>
          </w:tcPr>
          <w:p w14:paraId="124413E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191.06 </w:t>
            </w:r>
          </w:p>
        </w:tc>
        <w:tc>
          <w:tcPr>
            <w:tcW w:w="0" w:type="auto"/>
            <w:shd w:val="clear" w:color="auto" w:fill="auto"/>
            <w:noWrap/>
            <w:vAlign w:val="bottom"/>
            <w:hideMark/>
          </w:tcPr>
          <w:p w14:paraId="58BC6221"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4E0D6454"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43.90 </w:t>
            </w:r>
          </w:p>
        </w:tc>
        <w:tc>
          <w:tcPr>
            <w:tcW w:w="0" w:type="auto"/>
            <w:shd w:val="clear" w:color="auto" w:fill="auto"/>
            <w:noWrap/>
            <w:vAlign w:val="bottom"/>
            <w:hideMark/>
          </w:tcPr>
          <w:p w14:paraId="72CECA4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2,905.31 </w:t>
            </w:r>
          </w:p>
        </w:tc>
        <w:tc>
          <w:tcPr>
            <w:tcW w:w="0" w:type="auto"/>
            <w:shd w:val="clear" w:color="auto" w:fill="auto"/>
            <w:noWrap/>
            <w:vAlign w:val="bottom"/>
            <w:hideMark/>
          </w:tcPr>
          <w:p w14:paraId="0232BE8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2.30 </w:t>
            </w:r>
          </w:p>
        </w:tc>
        <w:tc>
          <w:tcPr>
            <w:tcW w:w="0" w:type="auto"/>
            <w:shd w:val="clear" w:color="auto" w:fill="auto"/>
            <w:noWrap/>
            <w:vAlign w:val="bottom"/>
            <w:hideMark/>
          </w:tcPr>
          <w:p w14:paraId="6FC394C2"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4,841.12 </w:t>
            </w:r>
          </w:p>
        </w:tc>
      </w:tr>
      <w:tr w:rsidR="0009676B" w:rsidRPr="006E04D7" w14:paraId="02AA0B87" w14:textId="77777777" w:rsidTr="0009676B">
        <w:trPr>
          <w:trHeight w:val="271"/>
        </w:trPr>
        <w:tc>
          <w:tcPr>
            <w:tcW w:w="1129" w:type="dxa"/>
            <w:shd w:val="clear" w:color="auto" w:fill="auto"/>
            <w:noWrap/>
            <w:vAlign w:val="bottom"/>
            <w:hideMark/>
          </w:tcPr>
          <w:p w14:paraId="46EC311C"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2016</w:t>
            </w:r>
          </w:p>
        </w:tc>
        <w:tc>
          <w:tcPr>
            <w:tcW w:w="412" w:type="dxa"/>
            <w:shd w:val="clear" w:color="auto" w:fill="auto"/>
            <w:noWrap/>
            <w:vAlign w:val="bottom"/>
            <w:hideMark/>
          </w:tcPr>
          <w:p w14:paraId="6E24DF3A"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1,085.29 </w:t>
            </w:r>
          </w:p>
        </w:tc>
        <w:tc>
          <w:tcPr>
            <w:tcW w:w="0" w:type="auto"/>
            <w:shd w:val="clear" w:color="auto" w:fill="auto"/>
            <w:noWrap/>
            <w:vAlign w:val="bottom"/>
            <w:hideMark/>
          </w:tcPr>
          <w:p w14:paraId="1794AF08"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34.87 </w:t>
            </w:r>
          </w:p>
        </w:tc>
        <w:tc>
          <w:tcPr>
            <w:tcW w:w="0" w:type="auto"/>
            <w:shd w:val="clear" w:color="auto" w:fill="auto"/>
            <w:noWrap/>
            <w:vAlign w:val="bottom"/>
            <w:hideMark/>
          </w:tcPr>
          <w:p w14:paraId="3E0B7C3B"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1,828.85 </w:t>
            </w:r>
          </w:p>
        </w:tc>
        <w:tc>
          <w:tcPr>
            <w:tcW w:w="0" w:type="auto"/>
            <w:shd w:val="clear" w:color="auto" w:fill="auto"/>
            <w:noWrap/>
            <w:vAlign w:val="bottom"/>
            <w:hideMark/>
          </w:tcPr>
          <w:p w14:paraId="59A9B15C"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252.57 </w:t>
            </w:r>
          </w:p>
        </w:tc>
        <w:tc>
          <w:tcPr>
            <w:tcW w:w="0" w:type="auto"/>
            <w:shd w:val="clear" w:color="auto" w:fill="auto"/>
            <w:noWrap/>
            <w:vAlign w:val="bottom"/>
            <w:hideMark/>
          </w:tcPr>
          <w:p w14:paraId="5E05ECAA"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41.74 </w:t>
            </w:r>
          </w:p>
        </w:tc>
        <w:tc>
          <w:tcPr>
            <w:tcW w:w="0" w:type="auto"/>
            <w:shd w:val="clear" w:color="auto" w:fill="auto"/>
            <w:noWrap/>
            <w:vAlign w:val="bottom"/>
            <w:hideMark/>
          </w:tcPr>
          <w:p w14:paraId="2455123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6EA8CDBA"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2,715.92 </w:t>
            </w:r>
          </w:p>
        </w:tc>
        <w:tc>
          <w:tcPr>
            <w:tcW w:w="0" w:type="auto"/>
            <w:shd w:val="clear" w:color="auto" w:fill="auto"/>
            <w:noWrap/>
            <w:vAlign w:val="bottom"/>
            <w:hideMark/>
          </w:tcPr>
          <w:p w14:paraId="5CE93B2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8.71 </w:t>
            </w:r>
          </w:p>
        </w:tc>
        <w:tc>
          <w:tcPr>
            <w:tcW w:w="0" w:type="auto"/>
            <w:shd w:val="clear" w:color="auto" w:fill="auto"/>
            <w:noWrap/>
            <w:vAlign w:val="bottom"/>
            <w:hideMark/>
          </w:tcPr>
          <w:p w14:paraId="7A9008A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5,967.93 </w:t>
            </w:r>
          </w:p>
        </w:tc>
      </w:tr>
      <w:tr w:rsidR="0009676B" w:rsidRPr="006E04D7" w14:paraId="4237F51B" w14:textId="77777777" w:rsidTr="0009676B">
        <w:trPr>
          <w:trHeight w:val="271"/>
        </w:trPr>
        <w:tc>
          <w:tcPr>
            <w:tcW w:w="1129" w:type="dxa"/>
            <w:shd w:val="clear" w:color="auto" w:fill="auto"/>
            <w:noWrap/>
            <w:vAlign w:val="bottom"/>
            <w:hideMark/>
          </w:tcPr>
          <w:p w14:paraId="5088E786"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2017</w:t>
            </w:r>
          </w:p>
        </w:tc>
        <w:tc>
          <w:tcPr>
            <w:tcW w:w="412" w:type="dxa"/>
            <w:shd w:val="clear" w:color="auto" w:fill="auto"/>
            <w:noWrap/>
            <w:vAlign w:val="bottom"/>
            <w:hideMark/>
          </w:tcPr>
          <w:p w14:paraId="2F26E357"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1,194.58 </w:t>
            </w:r>
          </w:p>
        </w:tc>
        <w:tc>
          <w:tcPr>
            <w:tcW w:w="0" w:type="auto"/>
            <w:shd w:val="clear" w:color="auto" w:fill="auto"/>
            <w:noWrap/>
            <w:vAlign w:val="bottom"/>
            <w:hideMark/>
          </w:tcPr>
          <w:p w14:paraId="01EC3B0E"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100.92 </w:t>
            </w:r>
          </w:p>
        </w:tc>
        <w:tc>
          <w:tcPr>
            <w:tcW w:w="0" w:type="auto"/>
            <w:shd w:val="clear" w:color="auto" w:fill="auto"/>
            <w:noWrap/>
            <w:vAlign w:val="bottom"/>
            <w:hideMark/>
          </w:tcPr>
          <w:p w14:paraId="5EA22F46"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2,168.14 </w:t>
            </w:r>
          </w:p>
        </w:tc>
        <w:tc>
          <w:tcPr>
            <w:tcW w:w="0" w:type="auto"/>
            <w:shd w:val="clear" w:color="auto" w:fill="auto"/>
            <w:noWrap/>
            <w:vAlign w:val="bottom"/>
            <w:hideMark/>
          </w:tcPr>
          <w:p w14:paraId="0EFC6A3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293.81 </w:t>
            </w:r>
          </w:p>
        </w:tc>
        <w:tc>
          <w:tcPr>
            <w:tcW w:w="0" w:type="auto"/>
            <w:shd w:val="clear" w:color="auto" w:fill="auto"/>
            <w:noWrap/>
            <w:vAlign w:val="bottom"/>
            <w:hideMark/>
          </w:tcPr>
          <w:p w14:paraId="0482E1E0"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48.69 </w:t>
            </w:r>
          </w:p>
        </w:tc>
        <w:tc>
          <w:tcPr>
            <w:tcW w:w="0" w:type="auto"/>
            <w:shd w:val="clear" w:color="auto" w:fill="auto"/>
            <w:noWrap/>
            <w:vAlign w:val="bottom"/>
            <w:hideMark/>
          </w:tcPr>
          <w:p w14:paraId="2C1FFC75"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6224E32D"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3,362.45 </w:t>
            </w:r>
          </w:p>
        </w:tc>
        <w:tc>
          <w:tcPr>
            <w:tcW w:w="0" w:type="auto"/>
            <w:shd w:val="clear" w:color="auto" w:fill="auto"/>
            <w:noWrap/>
            <w:vAlign w:val="bottom"/>
            <w:hideMark/>
          </w:tcPr>
          <w:p w14:paraId="3C2C2AE9"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   </w:t>
            </w:r>
          </w:p>
        </w:tc>
        <w:tc>
          <w:tcPr>
            <w:tcW w:w="0" w:type="auto"/>
            <w:shd w:val="clear" w:color="auto" w:fill="auto"/>
            <w:noWrap/>
            <w:vAlign w:val="bottom"/>
            <w:hideMark/>
          </w:tcPr>
          <w:p w14:paraId="05770643"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 xml:space="preserve">     7,168.58 </w:t>
            </w:r>
          </w:p>
        </w:tc>
      </w:tr>
      <w:tr w:rsidR="0009676B" w:rsidRPr="006E04D7" w14:paraId="0A54A4B3" w14:textId="77777777" w:rsidTr="0009676B">
        <w:trPr>
          <w:trHeight w:val="271"/>
        </w:trPr>
        <w:tc>
          <w:tcPr>
            <w:tcW w:w="1129" w:type="dxa"/>
            <w:shd w:val="clear" w:color="auto" w:fill="auto"/>
            <w:noWrap/>
            <w:vAlign w:val="bottom"/>
            <w:hideMark/>
          </w:tcPr>
          <w:p w14:paraId="77C2F28F" w14:textId="77777777" w:rsidR="0009676B" w:rsidRPr="006E04D7" w:rsidRDefault="0009676B" w:rsidP="0009676B">
            <w:pPr>
              <w:spacing w:after="0" w:line="240" w:lineRule="auto"/>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lastRenderedPageBreak/>
              <w:t>Total</w:t>
            </w:r>
          </w:p>
        </w:tc>
        <w:tc>
          <w:tcPr>
            <w:tcW w:w="412" w:type="dxa"/>
            <w:shd w:val="clear" w:color="auto" w:fill="auto"/>
            <w:noWrap/>
            <w:vAlign w:val="bottom"/>
            <w:hideMark/>
          </w:tcPr>
          <w:p w14:paraId="0CE04B6B"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44840.0949</w:t>
            </w:r>
          </w:p>
        </w:tc>
        <w:tc>
          <w:tcPr>
            <w:tcW w:w="0" w:type="auto"/>
            <w:shd w:val="clear" w:color="auto" w:fill="auto"/>
            <w:noWrap/>
            <w:vAlign w:val="bottom"/>
            <w:hideMark/>
          </w:tcPr>
          <w:p w14:paraId="13B9F7E7"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1786.561</w:t>
            </w:r>
          </w:p>
        </w:tc>
        <w:tc>
          <w:tcPr>
            <w:tcW w:w="0" w:type="auto"/>
            <w:shd w:val="clear" w:color="auto" w:fill="auto"/>
            <w:noWrap/>
            <w:vAlign w:val="bottom"/>
            <w:hideMark/>
          </w:tcPr>
          <w:p w14:paraId="60681CF4"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57060.3821</w:t>
            </w:r>
          </w:p>
        </w:tc>
        <w:tc>
          <w:tcPr>
            <w:tcW w:w="0" w:type="auto"/>
            <w:shd w:val="clear" w:color="auto" w:fill="auto"/>
            <w:noWrap/>
            <w:vAlign w:val="bottom"/>
            <w:hideMark/>
          </w:tcPr>
          <w:p w14:paraId="152B93C9"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7649.01124</w:t>
            </w:r>
          </w:p>
        </w:tc>
        <w:tc>
          <w:tcPr>
            <w:tcW w:w="0" w:type="auto"/>
            <w:shd w:val="clear" w:color="auto" w:fill="auto"/>
            <w:noWrap/>
            <w:vAlign w:val="bottom"/>
            <w:hideMark/>
          </w:tcPr>
          <w:p w14:paraId="43D14303"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8003.71901</w:t>
            </w:r>
          </w:p>
        </w:tc>
        <w:tc>
          <w:tcPr>
            <w:tcW w:w="0" w:type="auto"/>
            <w:shd w:val="clear" w:color="auto" w:fill="auto"/>
            <w:noWrap/>
            <w:vAlign w:val="bottom"/>
            <w:hideMark/>
          </w:tcPr>
          <w:p w14:paraId="4E049E62"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365.583</w:t>
            </w:r>
          </w:p>
        </w:tc>
        <w:tc>
          <w:tcPr>
            <w:tcW w:w="0" w:type="auto"/>
            <w:shd w:val="clear" w:color="auto" w:fill="auto"/>
            <w:noWrap/>
            <w:vAlign w:val="bottom"/>
            <w:hideMark/>
          </w:tcPr>
          <w:p w14:paraId="223CFCB4"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64596.77</w:t>
            </w:r>
          </w:p>
        </w:tc>
        <w:tc>
          <w:tcPr>
            <w:tcW w:w="0" w:type="auto"/>
            <w:shd w:val="clear" w:color="auto" w:fill="auto"/>
            <w:noWrap/>
            <w:vAlign w:val="bottom"/>
            <w:hideMark/>
          </w:tcPr>
          <w:p w14:paraId="18B75CD6" w14:textId="77777777" w:rsidR="0009676B" w:rsidRPr="006E04D7" w:rsidRDefault="0009676B" w:rsidP="0009676B">
            <w:pPr>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80.9655</w:t>
            </w:r>
          </w:p>
        </w:tc>
        <w:tc>
          <w:tcPr>
            <w:tcW w:w="0" w:type="auto"/>
            <w:shd w:val="clear" w:color="auto" w:fill="auto"/>
            <w:noWrap/>
            <w:vAlign w:val="bottom"/>
            <w:hideMark/>
          </w:tcPr>
          <w:p w14:paraId="4D71303E" w14:textId="77777777" w:rsidR="0009676B" w:rsidRPr="006E04D7" w:rsidRDefault="0009676B" w:rsidP="0009676B">
            <w:pPr>
              <w:keepNext/>
              <w:spacing w:after="0" w:line="240" w:lineRule="auto"/>
              <w:jc w:val="right"/>
              <w:rPr>
                <w:rFonts w:ascii="Times New Roman" w:eastAsia="Times New Roman" w:hAnsi="Times New Roman" w:cs="Times New Roman"/>
                <w:color w:val="000000"/>
                <w:sz w:val="12"/>
                <w:szCs w:val="12"/>
                <w:lang w:eastAsia="en-GB"/>
              </w:rPr>
            </w:pPr>
            <w:r w:rsidRPr="006E04D7">
              <w:rPr>
                <w:rFonts w:ascii="Times New Roman" w:eastAsia="Times New Roman" w:hAnsi="Times New Roman" w:cs="Times New Roman"/>
                <w:color w:val="000000"/>
                <w:sz w:val="12"/>
                <w:szCs w:val="12"/>
                <w:lang w:eastAsia="en-GB"/>
              </w:rPr>
              <w:t>184383.09</w:t>
            </w:r>
          </w:p>
        </w:tc>
      </w:tr>
    </w:tbl>
    <w:p w14:paraId="6C3F2943" w14:textId="77777777" w:rsidR="008561FD" w:rsidRPr="006E04D7" w:rsidRDefault="0009676B" w:rsidP="0009676B">
      <w:pPr>
        <w:pStyle w:val="Caption"/>
        <w:rPr>
          <w:rFonts w:ascii="Times New Roman" w:hAnsi="Times New Roman" w:cs="Times New Roman"/>
          <w:sz w:val="24"/>
          <w:szCs w:val="24"/>
        </w:rPr>
      </w:pPr>
      <w:r w:rsidRPr="006E04D7">
        <w:rPr>
          <w:rFonts w:ascii="Times New Roman" w:hAnsi="Times New Roman" w:cs="Times New Roman"/>
        </w:rPr>
        <w:t xml:space="preserve">Table </w:t>
      </w:r>
      <w:r w:rsidR="00FB400E">
        <w:rPr>
          <w:rFonts w:ascii="Times New Roman" w:hAnsi="Times New Roman" w:cs="Times New Roman"/>
        </w:rPr>
        <w:fldChar w:fldCharType="begin"/>
      </w:r>
      <w:r w:rsidR="00FB400E">
        <w:rPr>
          <w:rFonts w:ascii="Times New Roman" w:hAnsi="Times New Roman" w:cs="Times New Roman"/>
        </w:rPr>
        <w:instrText xml:space="preserve"> SEQ Table \* ARABIC </w:instrText>
      </w:r>
      <w:r w:rsidR="00FB400E">
        <w:rPr>
          <w:rFonts w:ascii="Times New Roman" w:hAnsi="Times New Roman" w:cs="Times New Roman"/>
        </w:rPr>
        <w:fldChar w:fldCharType="separate"/>
      </w:r>
      <w:r w:rsidR="00563C86">
        <w:rPr>
          <w:rFonts w:ascii="Times New Roman" w:hAnsi="Times New Roman" w:cs="Times New Roman"/>
          <w:noProof/>
        </w:rPr>
        <w:t>5</w:t>
      </w:r>
      <w:r w:rsidR="00FB400E">
        <w:rPr>
          <w:rFonts w:ascii="Times New Roman" w:hAnsi="Times New Roman" w:cs="Times New Roman"/>
        </w:rPr>
        <w:fldChar w:fldCharType="end"/>
      </w:r>
      <w:r w:rsidRPr="006E04D7">
        <w:rPr>
          <w:rFonts w:ascii="Times New Roman" w:hAnsi="Times New Roman" w:cs="Times New Roman"/>
        </w:rPr>
        <w:t xml:space="preserve">: </w:t>
      </w:r>
      <w:proofErr w:type="spellStart"/>
      <w:r w:rsidRPr="006E04D7">
        <w:rPr>
          <w:rFonts w:ascii="Times New Roman" w:hAnsi="Times New Roman" w:cs="Times New Roman"/>
        </w:rPr>
        <w:t>ATE_Catchdata</w:t>
      </w:r>
      <w:proofErr w:type="spellEnd"/>
    </w:p>
    <w:p w14:paraId="4E1EDF0F" w14:textId="77777777" w:rsidR="0009676B" w:rsidRPr="006E04D7" w:rsidRDefault="0009676B" w:rsidP="00092CEA">
      <w:pPr>
        <w:spacing w:line="360" w:lineRule="auto"/>
        <w:jc w:val="both"/>
        <w:rPr>
          <w:rFonts w:ascii="Times New Roman" w:hAnsi="Times New Roman" w:cs="Times New Roman"/>
          <w:sz w:val="24"/>
          <w:szCs w:val="24"/>
        </w:rPr>
      </w:pPr>
    </w:p>
    <w:p w14:paraId="116015B3" w14:textId="77777777" w:rsidR="00964FD2" w:rsidRPr="006E04D7" w:rsidRDefault="00964FD2" w:rsidP="00092CEA">
      <w:pPr>
        <w:spacing w:line="360" w:lineRule="auto"/>
        <w:jc w:val="both"/>
        <w:rPr>
          <w:rFonts w:ascii="Times New Roman" w:hAnsi="Times New Roman" w:cs="Times New Roman"/>
          <w:sz w:val="24"/>
          <w:szCs w:val="24"/>
        </w:rPr>
      </w:pP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51"/>
        <w:gridCol w:w="1261"/>
        <w:gridCol w:w="1041"/>
        <w:gridCol w:w="1041"/>
        <w:gridCol w:w="1041"/>
        <w:gridCol w:w="1041"/>
        <w:gridCol w:w="1041"/>
      </w:tblGrid>
      <w:tr w:rsidR="0009676B" w:rsidRPr="006E04D7" w14:paraId="4FF7CAF9" w14:textId="77777777" w:rsidTr="0009676B">
        <w:trPr>
          <w:trHeight w:val="300"/>
        </w:trPr>
        <w:tc>
          <w:tcPr>
            <w:tcW w:w="960" w:type="dxa"/>
            <w:shd w:val="clear" w:color="auto" w:fill="auto"/>
            <w:noWrap/>
            <w:vAlign w:val="bottom"/>
            <w:hideMark/>
          </w:tcPr>
          <w:p w14:paraId="2E2D1FF0" w14:textId="77777777" w:rsidR="0009676B" w:rsidRPr="006E04D7" w:rsidRDefault="0009676B" w:rsidP="0009676B">
            <w:pPr>
              <w:spacing w:after="0" w:line="240" w:lineRule="auto"/>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Year</w:t>
            </w:r>
          </w:p>
        </w:tc>
        <w:tc>
          <w:tcPr>
            <w:tcW w:w="1120" w:type="dxa"/>
            <w:shd w:val="clear" w:color="auto" w:fill="auto"/>
            <w:noWrap/>
            <w:vAlign w:val="bottom"/>
            <w:hideMark/>
          </w:tcPr>
          <w:p w14:paraId="142EFE9A" w14:textId="77777777" w:rsidR="0009676B" w:rsidRPr="006E04D7" w:rsidRDefault="0009676B" w:rsidP="0009676B">
            <w:pPr>
              <w:spacing w:after="0" w:line="240" w:lineRule="auto"/>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HL</w:t>
            </w:r>
          </w:p>
        </w:tc>
        <w:tc>
          <w:tcPr>
            <w:tcW w:w="1200" w:type="dxa"/>
            <w:shd w:val="clear" w:color="auto" w:fill="auto"/>
            <w:noWrap/>
            <w:vAlign w:val="bottom"/>
            <w:hideMark/>
          </w:tcPr>
          <w:p w14:paraId="69EA0733" w14:textId="77777777" w:rsidR="0009676B" w:rsidRPr="006E04D7" w:rsidRDefault="0009676B" w:rsidP="0009676B">
            <w:pPr>
              <w:spacing w:after="0" w:line="240" w:lineRule="auto"/>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LL</w:t>
            </w:r>
          </w:p>
        </w:tc>
        <w:tc>
          <w:tcPr>
            <w:tcW w:w="960" w:type="dxa"/>
            <w:shd w:val="clear" w:color="auto" w:fill="auto"/>
            <w:noWrap/>
            <w:vAlign w:val="bottom"/>
            <w:hideMark/>
          </w:tcPr>
          <w:p w14:paraId="522324A4" w14:textId="77777777" w:rsidR="0009676B" w:rsidRPr="006E04D7" w:rsidRDefault="0009676B" w:rsidP="0009676B">
            <w:pPr>
              <w:spacing w:after="0" w:line="240" w:lineRule="auto"/>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other</w:t>
            </w:r>
          </w:p>
        </w:tc>
        <w:tc>
          <w:tcPr>
            <w:tcW w:w="960" w:type="dxa"/>
            <w:shd w:val="clear" w:color="auto" w:fill="auto"/>
            <w:noWrap/>
            <w:vAlign w:val="bottom"/>
            <w:hideMark/>
          </w:tcPr>
          <w:p w14:paraId="29417DBF" w14:textId="77777777" w:rsidR="0009676B" w:rsidRPr="006E04D7" w:rsidRDefault="0009676B" w:rsidP="0009676B">
            <w:pPr>
              <w:spacing w:after="0" w:line="240" w:lineRule="auto"/>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PS</w:t>
            </w:r>
          </w:p>
        </w:tc>
        <w:tc>
          <w:tcPr>
            <w:tcW w:w="960" w:type="dxa"/>
            <w:shd w:val="clear" w:color="auto" w:fill="auto"/>
            <w:noWrap/>
            <w:vAlign w:val="bottom"/>
            <w:hideMark/>
          </w:tcPr>
          <w:p w14:paraId="5081DDE1" w14:textId="77777777" w:rsidR="0009676B" w:rsidRPr="006E04D7" w:rsidRDefault="0009676B" w:rsidP="0009676B">
            <w:pPr>
              <w:spacing w:after="0" w:line="240" w:lineRule="auto"/>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RR</w:t>
            </w:r>
          </w:p>
        </w:tc>
        <w:tc>
          <w:tcPr>
            <w:tcW w:w="960" w:type="dxa"/>
            <w:shd w:val="clear" w:color="auto" w:fill="auto"/>
            <w:noWrap/>
            <w:vAlign w:val="bottom"/>
            <w:hideMark/>
          </w:tcPr>
          <w:p w14:paraId="2129E43F" w14:textId="77777777" w:rsidR="0009676B" w:rsidRPr="006E04D7" w:rsidRDefault="0009676B" w:rsidP="0009676B">
            <w:pPr>
              <w:spacing w:after="0" w:line="240" w:lineRule="auto"/>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TP</w:t>
            </w:r>
          </w:p>
        </w:tc>
        <w:tc>
          <w:tcPr>
            <w:tcW w:w="960" w:type="dxa"/>
            <w:shd w:val="clear" w:color="auto" w:fill="auto"/>
            <w:noWrap/>
            <w:vAlign w:val="bottom"/>
            <w:hideMark/>
          </w:tcPr>
          <w:p w14:paraId="5F2600C1" w14:textId="77777777" w:rsidR="0009676B" w:rsidRPr="006E04D7" w:rsidRDefault="0009676B" w:rsidP="0009676B">
            <w:pPr>
              <w:spacing w:after="0" w:line="240" w:lineRule="auto"/>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Total catch-ATW</w:t>
            </w:r>
          </w:p>
        </w:tc>
      </w:tr>
      <w:tr w:rsidR="0009676B" w:rsidRPr="006E04D7" w14:paraId="17335FB0" w14:textId="77777777" w:rsidTr="0009676B">
        <w:trPr>
          <w:trHeight w:val="300"/>
        </w:trPr>
        <w:tc>
          <w:tcPr>
            <w:tcW w:w="960" w:type="dxa"/>
            <w:shd w:val="clear" w:color="auto" w:fill="auto"/>
            <w:noWrap/>
            <w:vAlign w:val="bottom"/>
            <w:hideMark/>
          </w:tcPr>
          <w:p w14:paraId="70328AA5"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1995</w:t>
            </w:r>
          </w:p>
        </w:tc>
        <w:tc>
          <w:tcPr>
            <w:tcW w:w="1120" w:type="dxa"/>
            <w:shd w:val="clear" w:color="auto" w:fill="auto"/>
            <w:noWrap/>
            <w:vAlign w:val="bottom"/>
            <w:hideMark/>
          </w:tcPr>
          <w:p w14:paraId="5DFDD42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75.00003</w:t>
            </w:r>
          </w:p>
        </w:tc>
        <w:tc>
          <w:tcPr>
            <w:tcW w:w="1200" w:type="dxa"/>
            <w:shd w:val="clear" w:color="auto" w:fill="auto"/>
            <w:noWrap/>
            <w:vAlign w:val="bottom"/>
            <w:hideMark/>
          </w:tcPr>
          <w:p w14:paraId="6DBFB6F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628.95003</w:t>
            </w:r>
          </w:p>
        </w:tc>
        <w:tc>
          <w:tcPr>
            <w:tcW w:w="960" w:type="dxa"/>
            <w:shd w:val="clear" w:color="auto" w:fill="auto"/>
            <w:noWrap/>
            <w:vAlign w:val="bottom"/>
            <w:hideMark/>
          </w:tcPr>
          <w:p w14:paraId="6EDA749F"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384</w:t>
            </w:r>
          </w:p>
        </w:tc>
        <w:tc>
          <w:tcPr>
            <w:tcW w:w="960" w:type="dxa"/>
            <w:shd w:val="clear" w:color="auto" w:fill="auto"/>
            <w:noWrap/>
            <w:vAlign w:val="bottom"/>
            <w:hideMark/>
          </w:tcPr>
          <w:p w14:paraId="4DB8EAC7"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249</w:t>
            </w:r>
          </w:p>
        </w:tc>
        <w:tc>
          <w:tcPr>
            <w:tcW w:w="960" w:type="dxa"/>
            <w:shd w:val="clear" w:color="auto" w:fill="auto"/>
            <w:noWrap/>
            <w:vAlign w:val="bottom"/>
            <w:hideMark/>
          </w:tcPr>
          <w:p w14:paraId="4A13A73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1039</w:t>
            </w:r>
          </w:p>
        </w:tc>
        <w:tc>
          <w:tcPr>
            <w:tcW w:w="960" w:type="dxa"/>
            <w:shd w:val="clear" w:color="auto" w:fill="auto"/>
            <w:noWrap/>
            <w:vAlign w:val="bottom"/>
            <w:hideMark/>
          </w:tcPr>
          <w:p w14:paraId="6F03ABE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72</w:t>
            </w:r>
          </w:p>
        </w:tc>
        <w:tc>
          <w:tcPr>
            <w:tcW w:w="960" w:type="dxa"/>
            <w:shd w:val="clear" w:color="auto" w:fill="auto"/>
            <w:noWrap/>
            <w:vAlign w:val="bottom"/>
            <w:hideMark/>
          </w:tcPr>
          <w:p w14:paraId="7AE751A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2447.95</w:t>
            </w:r>
          </w:p>
        </w:tc>
      </w:tr>
      <w:tr w:rsidR="0009676B" w:rsidRPr="006E04D7" w14:paraId="79F715FF" w14:textId="77777777" w:rsidTr="0009676B">
        <w:trPr>
          <w:trHeight w:val="300"/>
        </w:trPr>
        <w:tc>
          <w:tcPr>
            <w:tcW w:w="960" w:type="dxa"/>
            <w:shd w:val="clear" w:color="auto" w:fill="auto"/>
            <w:noWrap/>
            <w:vAlign w:val="bottom"/>
            <w:hideMark/>
          </w:tcPr>
          <w:p w14:paraId="28EAA075"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1996</w:t>
            </w:r>
          </w:p>
        </w:tc>
        <w:tc>
          <w:tcPr>
            <w:tcW w:w="1120" w:type="dxa"/>
            <w:shd w:val="clear" w:color="auto" w:fill="auto"/>
            <w:noWrap/>
            <w:vAlign w:val="bottom"/>
            <w:hideMark/>
          </w:tcPr>
          <w:p w14:paraId="4C1A60D9"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35.99998</w:t>
            </w:r>
          </w:p>
        </w:tc>
        <w:tc>
          <w:tcPr>
            <w:tcW w:w="1200" w:type="dxa"/>
            <w:shd w:val="clear" w:color="auto" w:fill="auto"/>
            <w:noWrap/>
            <w:vAlign w:val="bottom"/>
            <w:hideMark/>
          </w:tcPr>
          <w:p w14:paraId="2B02557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711.60002</w:t>
            </w:r>
          </w:p>
        </w:tc>
        <w:tc>
          <w:tcPr>
            <w:tcW w:w="960" w:type="dxa"/>
            <w:shd w:val="clear" w:color="auto" w:fill="auto"/>
            <w:noWrap/>
            <w:vAlign w:val="bottom"/>
            <w:hideMark/>
          </w:tcPr>
          <w:p w14:paraId="1394F6D8"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433</w:t>
            </w:r>
          </w:p>
        </w:tc>
        <w:tc>
          <w:tcPr>
            <w:tcW w:w="960" w:type="dxa"/>
            <w:shd w:val="clear" w:color="auto" w:fill="auto"/>
            <w:noWrap/>
            <w:vAlign w:val="bottom"/>
            <w:hideMark/>
          </w:tcPr>
          <w:p w14:paraId="54CE7CA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245</w:t>
            </w:r>
          </w:p>
        </w:tc>
        <w:tc>
          <w:tcPr>
            <w:tcW w:w="960" w:type="dxa"/>
            <w:shd w:val="clear" w:color="auto" w:fill="auto"/>
            <w:noWrap/>
            <w:vAlign w:val="bottom"/>
            <w:hideMark/>
          </w:tcPr>
          <w:p w14:paraId="1092129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996</w:t>
            </w:r>
          </w:p>
        </w:tc>
        <w:tc>
          <w:tcPr>
            <w:tcW w:w="960" w:type="dxa"/>
            <w:shd w:val="clear" w:color="auto" w:fill="auto"/>
            <w:noWrap/>
            <w:vAlign w:val="bottom"/>
            <w:hideMark/>
          </w:tcPr>
          <w:p w14:paraId="4EE06D4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90</w:t>
            </w:r>
          </w:p>
        </w:tc>
        <w:tc>
          <w:tcPr>
            <w:tcW w:w="960" w:type="dxa"/>
            <w:shd w:val="clear" w:color="auto" w:fill="auto"/>
            <w:noWrap/>
            <w:vAlign w:val="bottom"/>
            <w:hideMark/>
          </w:tcPr>
          <w:p w14:paraId="12CDBDC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2511.6</w:t>
            </w:r>
          </w:p>
        </w:tc>
      </w:tr>
      <w:tr w:rsidR="0009676B" w:rsidRPr="006E04D7" w14:paraId="2EB68BCC" w14:textId="77777777" w:rsidTr="0009676B">
        <w:trPr>
          <w:trHeight w:val="300"/>
        </w:trPr>
        <w:tc>
          <w:tcPr>
            <w:tcW w:w="960" w:type="dxa"/>
            <w:shd w:val="clear" w:color="auto" w:fill="auto"/>
            <w:noWrap/>
            <w:vAlign w:val="bottom"/>
            <w:hideMark/>
          </w:tcPr>
          <w:p w14:paraId="1713BE2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1997</w:t>
            </w:r>
          </w:p>
        </w:tc>
        <w:tc>
          <w:tcPr>
            <w:tcW w:w="1120" w:type="dxa"/>
            <w:shd w:val="clear" w:color="auto" w:fill="auto"/>
            <w:noWrap/>
            <w:vAlign w:val="bottom"/>
            <w:hideMark/>
          </w:tcPr>
          <w:p w14:paraId="6B723122"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16.99997</w:t>
            </w:r>
          </w:p>
        </w:tc>
        <w:tc>
          <w:tcPr>
            <w:tcW w:w="1200" w:type="dxa"/>
            <w:shd w:val="clear" w:color="auto" w:fill="auto"/>
            <w:noWrap/>
            <w:vAlign w:val="bottom"/>
            <w:hideMark/>
          </w:tcPr>
          <w:p w14:paraId="16D3DF3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537.00003</w:t>
            </w:r>
          </w:p>
        </w:tc>
        <w:tc>
          <w:tcPr>
            <w:tcW w:w="960" w:type="dxa"/>
            <w:shd w:val="clear" w:color="auto" w:fill="auto"/>
            <w:noWrap/>
            <w:vAlign w:val="bottom"/>
            <w:hideMark/>
          </w:tcPr>
          <w:p w14:paraId="5925F566"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293</w:t>
            </w:r>
          </w:p>
        </w:tc>
        <w:tc>
          <w:tcPr>
            <w:tcW w:w="960" w:type="dxa"/>
            <w:shd w:val="clear" w:color="auto" w:fill="auto"/>
            <w:noWrap/>
            <w:vAlign w:val="bottom"/>
            <w:hideMark/>
          </w:tcPr>
          <w:p w14:paraId="20443667"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250</w:t>
            </w:r>
          </w:p>
        </w:tc>
        <w:tc>
          <w:tcPr>
            <w:tcW w:w="960" w:type="dxa"/>
            <w:shd w:val="clear" w:color="auto" w:fill="auto"/>
            <w:noWrap/>
            <w:vAlign w:val="bottom"/>
            <w:hideMark/>
          </w:tcPr>
          <w:p w14:paraId="73E7D9E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1178.3</w:t>
            </w:r>
          </w:p>
        </w:tc>
        <w:tc>
          <w:tcPr>
            <w:tcW w:w="960" w:type="dxa"/>
            <w:shd w:val="clear" w:color="auto" w:fill="auto"/>
            <w:noWrap/>
            <w:vAlign w:val="bottom"/>
            <w:hideMark/>
          </w:tcPr>
          <w:p w14:paraId="209FF7AC"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59</w:t>
            </w:r>
          </w:p>
        </w:tc>
        <w:tc>
          <w:tcPr>
            <w:tcW w:w="960" w:type="dxa"/>
            <w:shd w:val="clear" w:color="auto" w:fill="auto"/>
            <w:noWrap/>
            <w:vAlign w:val="bottom"/>
            <w:hideMark/>
          </w:tcPr>
          <w:p w14:paraId="33ED3928"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2334.3</w:t>
            </w:r>
          </w:p>
        </w:tc>
      </w:tr>
      <w:tr w:rsidR="0009676B" w:rsidRPr="006E04D7" w14:paraId="2311B82D" w14:textId="77777777" w:rsidTr="0009676B">
        <w:trPr>
          <w:trHeight w:val="300"/>
        </w:trPr>
        <w:tc>
          <w:tcPr>
            <w:tcW w:w="960" w:type="dxa"/>
            <w:shd w:val="clear" w:color="auto" w:fill="auto"/>
            <w:noWrap/>
            <w:vAlign w:val="bottom"/>
            <w:hideMark/>
          </w:tcPr>
          <w:p w14:paraId="2C1DE9E7"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1998</w:t>
            </w:r>
          </w:p>
        </w:tc>
        <w:tc>
          <w:tcPr>
            <w:tcW w:w="1120" w:type="dxa"/>
            <w:shd w:val="clear" w:color="auto" w:fill="auto"/>
            <w:noWrap/>
            <w:vAlign w:val="bottom"/>
            <w:hideMark/>
          </w:tcPr>
          <w:p w14:paraId="12A2FFC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28.99999</w:t>
            </w:r>
          </w:p>
        </w:tc>
        <w:tc>
          <w:tcPr>
            <w:tcW w:w="1200" w:type="dxa"/>
            <w:shd w:val="clear" w:color="auto" w:fill="auto"/>
            <w:noWrap/>
            <w:vAlign w:val="bottom"/>
            <w:hideMark/>
          </w:tcPr>
          <w:p w14:paraId="123AA23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887.00002</w:t>
            </w:r>
          </w:p>
        </w:tc>
        <w:tc>
          <w:tcPr>
            <w:tcW w:w="960" w:type="dxa"/>
            <w:shd w:val="clear" w:color="auto" w:fill="auto"/>
            <w:noWrap/>
            <w:vAlign w:val="bottom"/>
            <w:hideMark/>
          </w:tcPr>
          <w:p w14:paraId="6E6D478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342</w:t>
            </w:r>
          </w:p>
        </w:tc>
        <w:tc>
          <w:tcPr>
            <w:tcW w:w="960" w:type="dxa"/>
            <w:shd w:val="clear" w:color="auto" w:fill="auto"/>
            <w:noWrap/>
            <w:vAlign w:val="bottom"/>
            <w:hideMark/>
          </w:tcPr>
          <w:p w14:paraId="715D1CEA"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249</w:t>
            </w:r>
          </w:p>
        </w:tc>
        <w:tc>
          <w:tcPr>
            <w:tcW w:w="960" w:type="dxa"/>
            <w:shd w:val="clear" w:color="auto" w:fill="auto"/>
            <w:noWrap/>
            <w:vAlign w:val="bottom"/>
            <w:hideMark/>
          </w:tcPr>
          <w:p w14:paraId="1C2B435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1082</w:t>
            </w:r>
          </w:p>
        </w:tc>
        <w:tc>
          <w:tcPr>
            <w:tcW w:w="960" w:type="dxa"/>
            <w:shd w:val="clear" w:color="auto" w:fill="auto"/>
            <w:noWrap/>
            <w:vAlign w:val="bottom"/>
            <w:hideMark/>
          </w:tcPr>
          <w:p w14:paraId="42C3C7C2"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68</w:t>
            </w:r>
          </w:p>
        </w:tc>
        <w:tc>
          <w:tcPr>
            <w:tcW w:w="960" w:type="dxa"/>
            <w:shd w:val="clear" w:color="auto" w:fill="auto"/>
            <w:noWrap/>
            <w:vAlign w:val="bottom"/>
            <w:hideMark/>
          </w:tcPr>
          <w:p w14:paraId="6BD3452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2657</w:t>
            </w:r>
          </w:p>
        </w:tc>
      </w:tr>
      <w:tr w:rsidR="0009676B" w:rsidRPr="006E04D7" w14:paraId="3580964E" w14:textId="77777777" w:rsidTr="0009676B">
        <w:trPr>
          <w:trHeight w:val="300"/>
        </w:trPr>
        <w:tc>
          <w:tcPr>
            <w:tcW w:w="960" w:type="dxa"/>
            <w:shd w:val="clear" w:color="auto" w:fill="auto"/>
            <w:noWrap/>
            <w:vAlign w:val="bottom"/>
            <w:hideMark/>
          </w:tcPr>
          <w:p w14:paraId="79D34E5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1999</w:t>
            </w:r>
          </w:p>
        </w:tc>
        <w:tc>
          <w:tcPr>
            <w:tcW w:w="1120" w:type="dxa"/>
            <w:shd w:val="clear" w:color="auto" w:fill="auto"/>
            <w:noWrap/>
            <w:vAlign w:val="bottom"/>
            <w:hideMark/>
          </w:tcPr>
          <w:p w14:paraId="3A706D9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15.00003</w:t>
            </w:r>
          </w:p>
        </w:tc>
        <w:tc>
          <w:tcPr>
            <w:tcW w:w="1200" w:type="dxa"/>
            <w:shd w:val="clear" w:color="auto" w:fill="auto"/>
            <w:noWrap/>
            <w:vAlign w:val="bottom"/>
            <w:hideMark/>
          </w:tcPr>
          <w:p w14:paraId="06281C2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1075.48298</w:t>
            </w:r>
          </w:p>
        </w:tc>
        <w:tc>
          <w:tcPr>
            <w:tcW w:w="960" w:type="dxa"/>
            <w:shd w:val="clear" w:color="auto" w:fill="auto"/>
            <w:noWrap/>
            <w:vAlign w:val="bottom"/>
            <w:hideMark/>
          </w:tcPr>
          <w:p w14:paraId="4BCC10A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278.981</w:t>
            </w:r>
          </w:p>
        </w:tc>
        <w:tc>
          <w:tcPr>
            <w:tcW w:w="960" w:type="dxa"/>
            <w:shd w:val="clear" w:color="auto" w:fill="auto"/>
            <w:noWrap/>
            <w:vAlign w:val="bottom"/>
            <w:hideMark/>
          </w:tcPr>
          <w:p w14:paraId="6EA6C6E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248</w:t>
            </w:r>
          </w:p>
        </w:tc>
        <w:tc>
          <w:tcPr>
            <w:tcW w:w="960" w:type="dxa"/>
            <w:shd w:val="clear" w:color="auto" w:fill="auto"/>
            <w:noWrap/>
            <w:vAlign w:val="bottom"/>
            <w:hideMark/>
          </w:tcPr>
          <w:p w14:paraId="0F28902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1109.792</w:t>
            </w:r>
          </w:p>
        </w:tc>
        <w:tc>
          <w:tcPr>
            <w:tcW w:w="960" w:type="dxa"/>
            <w:shd w:val="clear" w:color="auto" w:fill="auto"/>
            <w:noWrap/>
            <w:vAlign w:val="bottom"/>
            <w:hideMark/>
          </w:tcPr>
          <w:p w14:paraId="222E65DC"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44.493</w:t>
            </w:r>
          </w:p>
        </w:tc>
        <w:tc>
          <w:tcPr>
            <w:tcW w:w="960" w:type="dxa"/>
            <w:shd w:val="clear" w:color="auto" w:fill="auto"/>
            <w:noWrap/>
            <w:vAlign w:val="bottom"/>
            <w:hideMark/>
          </w:tcPr>
          <w:p w14:paraId="690665E9"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2771.749</w:t>
            </w:r>
          </w:p>
        </w:tc>
      </w:tr>
      <w:tr w:rsidR="0009676B" w:rsidRPr="006E04D7" w14:paraId="32101A28" w14:textId="77777777" w:rsidTr="0009676B">
        <w:trPr>
          <w:trHeight w:val="300"/>
        </w:trPr>
        <w:tc>
          <w:tcPr>
            <w:tcW w:w="960" w:type="dxa"/>
            <w:shd w:val="clear" w:color="auto" w:fill="auto"/>
            <w:noWrap/>
            <w:vAlign w:val="bottom"/>
            <w:hideMark/>
          </w:tcPr>
          <w:p w14:paraId="2112EF1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2000</w:t>
            </w:r>
          </w:p>
        </w:tc>
        <w:tc>
          <w:tcPr>
            <w:tcW w:w="1120" w:type="dxa"/>
            <w:shd w:val="clear" w:color="auto" w:fill="auto"/>
            <w:noWrap/>
            <w:vAlign w:val="bottom"/>
            <w:hideMark/>
          </w:tcPr>
          <w:p w14:paraId="6E6A8357"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3.20001</w:t>
            </w:r>
          </w:p>
        </w:tc>
        <w:tc>
          <w:tcPr>
            <w:tcW w:w="1200" w:type="dxa"/>
            <w:shd w:val="clear" w:color="auto" w:fill="auto"/>
            <w:noWrap/>
            <w:vAlign w:val="bottom"/>
            <w:hideMark/>
          </w:tcPr>
          <w:p w14:paraId="073D9FD6"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1079.534</w:t>
            </w:r>
          </w:p>
        </w:tc>
        <w:tc>
          <w:tcPr>
            <w:tcW w:w="960" w:type="dxa"/>
            <w:shd w:val="clear" w:color="auto" w:fill="auto"/>
            <w:noWrap/>
            <w:vAlign w:val="bottom"/>
            <w:hideMark/>
          </w:tcPr>
          <w:p w14:paraId="622998B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283.378</w:t>
            </w:r>
          </w:p>
        </w:tc>
        <w:tc>
          <w:tcPr>
            <w:tcW w:w="960" w:type="dxa"/>
            <w:shd w:val="clear" w:color="auto" w:fill="auto"/>
            <w:noWrap/>
            <w:vAlign w:val="bottom"/>
            <w:hideMark/>
          </w:tcPr>
          <w:p w14:paraId="70D4019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275.2</w:t>
            </w:r>
          </w:p>
        </w:tc>
        <w:tc>
          <w:tcPr>
            <w:tcW w:w="960" w:type="dxa"/>
            <w:shd w:val="clear" w:color="auto" w:fill="auto"/>
            <w:noWrap/>
            <w:vAlign w:val="bottom"/>
            <w:hideMark/>
          </w:tcPr>
          <w:p w14:paraId="104CD8C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1117.467</w:t>
            </w:r>
          </w:p>
        </w:tc>
        <w:tc>
          <w:tcPr>
            <w:tcW w:w="960" w:type="dxa"/>
            <w:shd w:val="clear" w:color="auto" w:fill="auto"/>
            <w:noWrap/>
            <w:vAlign w:val="bottom"/>
            <w:hideMark/>
          </w:tcPr>
          <w:p w14:paraId="6F25916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16.052</w:t>
            </w:r>
          </w:p>
        </w:tc>
        <w:tc>
          <w:tcPr>
            <w:tcW w:w="960" w:type="dxa"/>
            <w:shd w:val="clear" w:color="auto" w:fill="auto"/>
            <w:noWrap/>
            <w:vAlign w:val="bottom"/>
            <w:hideMark/>
          </w:tcPr>
          <w:p w14:paraId="0F470178"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2774.831</w:t>
            </w:r>
          </w:p>
        </w:tc>
      </w:tr>
      <w:tr w:rsidR="0009676B" w:rsidRPr="006E04D7" w14:paraId="7F157CBB" w14:textId="77777777" w:rsidTr="0009676B">
        <w:trPr>
          <w:trHeight w:val="300"/>
        </w:trPr>
        <w:tc>
          <w:tcPr>
            <w:tcW w:w="960" w:type="dxa"/>
            <w:shd w:val="clear" w:color="auto" w:fill="auto"/>
            <w:noWrap/>
            <w:vAlign w:val="bottom"/>
            <w:hideMark/>
          </w:tcPr>
          <w:p w14:paraId="2EC847E6"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2001</w:t>
            </w:r>
          </w:p>
        </w:tc>
        <w:tc>
          <w:tcPr>
            <w:tcW w:w="1120" w:type="dxa"/>
            <w:shd w:val="clear" w:color="auto" w:fill="auto"/>
            <w:noWrap/>
            <w:vAlign w:val="bottom"/>
            <w:hideMark/>
          </w:tcPr>
          <w:p w14:paraId="547B147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9.00001</w:t>
            </w:r>
          </w:p>
        </w:tc>
        <w:tc>
          <w:tcPr>
            <w:tcW w:w="1200" w:type="dxa"/>
            <w:shd w:val="clear" w:color="auto" w:fill="auto"/>
            <w:noWrap/>
            <w:vAlign w:val="bottom"/>
            <w:hideMark/>
          </w:tcPr>
          <w:p w14:paraId="10CC6E1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714.749</w:t>
            </w:r>
          </w:p>
        </w:tc>
        <w:tc>
          <w:tcPr>
            <w:tcW w:w="960" w:type="dxa"/>
            <w:shd w:val="clear" w:color="auto" w:fill="auto"/>
            <w:noWrap/>
            <w:vAlign w:val="bottom"/>
            <w:hideMark/>
          </w:tcPr>
          <w:p w14:paraId="0DA790C5"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201.295</w:t>
            </w:r>
          </w:p>
        </w:tc>
        <w:tc>
          <w:tcPr>
            <w:tcW w:w="960" w:type="dxa"/>
            <w:shd w:val="clear" w:color="auto" w:fill="auto"/>
            <w:noWrap/>
            <w:vAlign w:val="bottom"/>
            <w:hideMark/>
          </w:tcPr>
          <w:p w14:paraId="70697C1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195.9</w:t>
            </w:r>
          </w:p>
        </w:tc>
        <w:tc>
          <w:tcPr>
            <w:tcW w:w="960" w:type="dxa"/>
            <w:shd w:val="clear" w:color="auto" w:fill="auto"/>
            <w:noWrap/>
            <w:vAlign w:val="bottom"/>
            <w:hideMark/>
          </w:tcPr>
          <w:p w14:paraId="19C9F30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1647.669</w:t>
            </w:r>
          </w:p>
        </w:tc>
        <w:tc>
          <w:tcPr>
            <w:tcW w:w="960" w:type="dxa"/>
            <w:shd w:val="clear" w:color="auto" w:fill="auto"/>
            <w:noWrap/>
            <w:vAlign w:val="bottom"/>
            <w:hideMark/>
          </w:tcPr>
          <w:p w14:paraId="737DB67F"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15.786</w:t>
            </w:r>
          </w:p>
        </w:tc>
        <w:tc>
          <w:tcPr>
            <w:tcW w:w="960" w:type="dxa"/>
            <w:shd w:val="clear" w:color="auto" w:fill="auto"/>
            <w:noWrap/>
            <w:vAlign w:val="bottom"/>
            <w:hideMark/>
          </w:tcPr>
          <w:p w14:paraId="38CF2D9C"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2784.399</w:t>
            </w:r>
          </w:p>
        </w:tc>
      </w:tr>
      <w:tr w:rsidR="0009676B" w:rsidRPr="006E04D7" w14:paraId="38911BDB" w14:textId="77777777" w:rsidTr="0009676B">
        <w:trPr>
          <w:trHeight w:val="300"/>
        </w:trPr>
        <w:tc>
          <w:tcPr>
            <w:tcW w:w="960" w:type="dxa"/>
            <w:shd w:val="clear" w:color="auto" w:fill="auto"/>
            <w:noWrap/>
            <w:vAlign w:val="bottom"/>
            <w:hideMark/>
          </w:tcPr>
          <w:p w14:paraId="765F019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2002</w:t>
            </w:r>
          </w:p>
        </w:tc>
        <w:tc>
          <w:tcPr>
            <w:tcW w:w="1120" w:type="dxa"/>
            <w:shd w:val="clear" w:color="auto" w:fill="auto"/>
            <w:noWrap/>
            <w:vAlign w:val="bottom"/>
            <w:hideMark/>
          </w:tcPr>
          <w:p w14:paraId="35CC571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4.49001</w:t>
            </w:r>
          </w:p>
        </w:tc>
        <w:tc>
          <w:tcPr>
            <w:tcW w:w="1200" w:type="dxa"/>
            <w:shd w:val="clear" w:color="auto" w:fill="auto"/>
            <w:noWrap/>
            <w:vAlign w:val="bottom"/>
            <w:hideMark/>
          </w:tcPr>
          <w:p w14:paraId="7B36F755"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940.03798</w:t>
            </w:r>
          </w:p>
        </w:tc>
        <w:tc>
          <w:tcPr>
            <w:tcW w:w="960" w:type="dxa"/>
            <w:shd w:val="clear" w:color="auto" w:fill="auto"/>
            <w:noWrap/>
            <w:vAlign w:val="bottom"/>
            <w:hideMark/>
          </w:tcPr>
          <w:p w14:paraId="06BB652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107.044</w:t>
            </w:r>
          </w:p>
        </w:tc>
        <w:tc>
          <w:tcPr>
            <w:tcW w:w="960" w:type="dxa"/>
            <w:shd w:val="clear" w:color="auto" w:fill="auto"/>
            <w:noWrap/>
            <w:vAlign w:val="bottom"/>
            <w:hideMark/>
          </w:tcPr>
          <w:p w14:paraId="5E23502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207.74</w:t>
            </w:r>
          </w:p>
        </w:tc>
        <w:tc>
          <w:tcPr>
            <w:tcW w:w="960" w:type="dxa"/>
            <w:shd w:val="clear" w:color="auto" w:fill="auto"/>
            <w:noWrap/>
            <w:vAlign w:val="bottom"/>
            <w:hideMark/>
          </w:tcPr>
          <w:p w14:paraId="0BC76FC5"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2031.123</w:t>
            </w:r>
          </w:p>
        </w:tc>
        <w:tc>
          <w:tcPr>
            <w:tcW w:w="960" w:type="dxa"/>
            <w:shd w:val="clear" w:color="auto" w:fill="auto"/>
            <w:noWrap/>
            <w:vAlign w:val="bottom"/>
            <w:hideMark/>
          </w:tcPr>
          <w:p w14:paraId="7D178C7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28.129</w:t>
            </w:r>
          </w:p>
        </w:tc>
        <w:tc>
          <w:tcPr>
            <w:tcW w:w="960" w:type="dxa"/>
            <w:shd w:val="clear" w:color="auto" w:fill="auto"/>
            <w:noWrap/>
            <w:vAlign w:val="bottom"/>
            <w:hideMark/>
          </w:tcPr>
          <w:p w14:paraId="0B7592E5"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3318.564</w:t>
            </w:r>
          </w:p>
        </w:tc>
      </w:tr>
      <w:tr w:rsidR="0009676B" w:rsidRPr="006E04D7" w14:paraId="3E3CA424" w14:textId="77777777" w:rsidTr="0009676B">
        <w:trPr>
          <w:trHeight w:val="300"/>
        </w:trPr>
        <w:tc>
          <w:tcPr>
            <w:tcW w:w="960" w:type="dxa"/>
            <w:shd w:val="clear" w:color="auto" w:fill="auto"/>
            <w:noWrap/>
            <w:vAlign w:val="bottom"/>
            <w:hideMark/>
          </w:tcPr>
          <w:p w14:paraId="31E67108"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2003</w:t>
            </w:r>
          </w:p>
        </w:tc>
        <w:tc>
          <w:tcPr>
            <w:tcW w:w="1120" w:type="dxa"/>
            <w:shd w:val="clear" w:color="auto" w:fill="auto"/>
            <w:noWrap/>
            <w:vAlign w:val="bottom"/>
            <w:hideMark/>
          </w:tcPr>
          <w:p w14:paraId="708B1CE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w:t>
            </w:r>
          </w:p>
        </w:tc>
        <w:tc>
          <w:tcPr>
            <w:tcW w:w="1200" w:type="dxa"/>
            <w:shd w:val="clear" w:color="auto" w:fill="auto"/>
            <w:noWrap/>
            <w:vAlign w:val="bottom"/>
            <w:hideMark/>
          </w:tcPr>
          <w:p w14:paraId="23E040A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418.10299</w:t>
            </w:r>
          </w:p>
        </w:tc>
        <w:tc>
          <w:tcPr>
            <w:tcW w:w="960" w:type="dxa"/>
            <w:shd w:val="clear" w:color="auto" w:fill="auto"/>
            <w:noWrap/>
            <w:vAlign w:val="bottom"/>
            <w:hideMark/>
          </w:tcPr>
          <w:p w14:paraId="6D1C263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139.349</w:t>
            </w:r>
          </w:p>
        </w:tc>
        <w:tc>
          <w:tcPr>
            <w:tcW w:w="960" w:type="dxa"/>
            <w:shd w:val="clear" w:color="auto" w:fill="auto"/>
            <w:noWrap/>
            <w:vAlign w:val="bottom"/>
            <w:hideMark/>
          </w:tcPr>
          <w:p w14:paraId="6BF41CD8"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265.42</w:t>
            </w:r>
          </w:p>
        </w:tc>
        <w:tc>
          <w:tcPr>
            <w:tcW w:w="960" w:type="dxa"/>
            <w:shd w:val="clear" w:color="auto" w:fill="auto"/>
            <w:noWrap/>
            <w:vAlign w:val="bottom"/>
            <w:hideMark/>
          </w:tcPr>
          <w:p w14:paraId="0F038248"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1398.514</w:t>
            </w:r>
          </w:p>
        </w:tc>
        <w:tc>
          <w:tcPr>
            <w:tcW w:w="960" w:type="dxa"/>
            <w:shd w:val="clear" w:color="auto" w:fill="auto"/>
            <w:noWrap/>
            <w:vAlign w:val="bottom"/>
            <w:hideMark/>
          </w:tcPr>
          <w:p w14:paraId="14A9C8B8"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83.99</w:t>
            </w:r>
          </w:p>
        </w:tc>
        <w:tc>
          <w:tcPr>
            <w:tcW w:w="960" w:type="dxa"/>
            <w:shd w:val="clear" w:color="auto" w:fill="auto"/>
            <w:noWrap/>
            <w:vAlign w:val="bottom"/>
            <w:hideMark/>
          </w:tcPr>
          <w:p w14:paraId="5085F609"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2305.376</w:t>
            </w:r>
          </w:p>
        </w:tc>
      </w:tr>
      <w:tr w:rsidR="0009676B" w:rsidRPr="006E04D7" w14:paraId="6922B01A" w14:textId="77777777" w:rsidTr="0009676B">
        <w:trPr>
          <w:trHeight w:val="300"/>
        </w:trPr>
        <w:tc>
          <w:tcPr>
            <w:tcW w:w="960" w:type="dxa"/>
            <w:shd w:val="clear" w:color="auto" w:fill="auto"/>
            <w:noWrap/>
            <w:vAlign w:val="bottom"/>
            <w:hideMark/>
          </w:tcPr>
          <w:p w14:paraId="3771CFFF"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2004</w:t>
            </w:r>
          </w:p>
        </w:tc>
        <w:tc>
          <w:tcPr>
            <w:tcW w:w="1120" w:type="dxa"/>
            <w:shd w:val="clear" w:color="auto" w:fill="auto"/>
            <w:noWrap/>
            <w:vAlign w:val="bottom"/>
            <w:hideMark/>
          </w:tcPr>
          <w:p w14:paraId="24453817"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1.48502</w:t>
            </w:r>
          </w:p>
        </w:tc>
        <w:tc>
          <w:tcPr>
            <w:tcW w:w="1200" w:type="dxa"/>
            <w:shd w:val="clear" w:color="auto" w:fill="auto"/>
            <w:noWrap/>
            <w:vAlign w:val="bottom"/>
            <w:hideMark/>
          </w:tcPr>
          <w:p w14:paraId="0E8584A7"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824.81002</w:t>
            </w:r>
          </w:p>
        </w:tc>
        <w:tc>
          <w:tcPr>
            <w:tcW w:w="960" w:type="dxa"/>
            <w:shd w:val="clear" w:color="auto" w:fill="auto"/>
            <w:noWrap/>
            <w:vAlign w:val="bottom"/>
            <w:hideMark/>
          </w:tcPr>
          <w:p w14:paraId="333EBA48"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97.125</w:t>
            </w:r>
          </w:p>
        </w:tc>
        <w:tc>
          <w:tcPr>
            <w:tcW w:w="960" w:type="dxa"/>
            <w:shd w:val="clear" w:color="auto" w:fill="auto"/>
            <w:noWrap/>
            <w:vAlign w:val="bottom"/>
            <w:hideMark/>
          </w:tcPr>
          <w:p w14:paraId="087D3E2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31.786</w:t>
            </w:r>
          </w:p>
        </w:tc>
        <w:tc>
          <w:tcPr>
            <w:tcW w:w="960" w:type="dxa"/>
            <w:shd w:val="clear" w:color="auto" w:fill="auto"/>
            <w:noWrap/>
            <w:vAlign w:val="bottom"/>
            <w:hideMark/>
          </w:tcPr>
          <w:p w14:paraId="47C69B36"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1137.304</w:t>
            </w:r>
          </w:p>
        </w:tc>
        <w:tc>
          <w:tcPr>
            <w:tcW w:w="960" w:type="dxa"/>
            <w:shd w:val="clear" w:color="auto" w:fill="auto"/>
            <w:noWrap/>
            <w:vAlign w:val="bottom"/>
            <w:hideMark/>
          </w:tcPr>
          <w:p w14:paraId="293D4B2C"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32.028</w:t>
            </w:r>
          </w:p>
        </w:tc>
        <w:tc>
          <w:tcPr>
            <w:tcW w:w="960" w:type="dxa"/>
            <w:shd w:val="clear" w:color="auto" w:fill="auto"/>
            <w:noWrap/>
            <w:vAlign w:val="bottom"/>
            <w:hideMark/>
          </w:tcPr>
          <w:p w14:paraId="2F79A7AF"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2124.538</w:t>
            </w:r>
          </w:p>
        </w:tc>
      </w:tr>
      <w:tr w:rsidR="0009676B" w:rsidRPr="006E04D7" w14:paraId="02EC2EE2" w14:textId="77777777" w:rsidTr="0009676B">
        <w:trPr>
          <w:trHeight w:val="300"/>
        </w:trPr>
        <w:tc>
          <w:tcPr>
            <w:tcW w:w="960" w:type="dxa"/>
            <w:shd w:val="clear" w:color="auto" w:fill="auto"/>
            <w:noWrap/>
            <w:vAlign w:val="bottom"/>
            <w:hideMark/>
          </w:tcPr>
          <w:p w14:paraId="72CAB2E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2005</w:t>
            </w:r>
          </w:p>
        </w:tc>
        <w:tc>
          <w:tcPr>
            <w:tcW w:w="1120" w:type="dxa"/>
            <w:shd w:val="clear" w:color="auto" w:fill="auto"/>
            <w:noWrap/>
            <w:vAlign w:val="bottom"/>
            <w:hideMark/>
          </w:tcPr>
          <w:p w14:paraId="653D4EF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2.282</w:t>
            </w:r>
          </w:p>
        </w:tc>
        <w:tc>
          <w:tcPr>
            <w:tcW w:w="1200" w:type="dxa"/>
            <w:shd w:val="clear" w:color="auto" w:fill="auto"/>
            <w:noWrap/>
            <w:vAlign w:val="bottom"/>
            <w:hideMark/>
          </w:tcPr>
          <w:p w14:paraId="7C0BED17"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556.18701</w:t>
            </w:r>
          </w:p>
        </w:tc>
        <w:tc>
          <w:tcPr>
            <w:tcW w:w="960" w:type="dxa"/>
            <w:shd w:val="clear" w:color="auto" w:fill="auto"/>
            <w:noWrap/>
            <w:vAlign w:val="bottom"/>
            <w:hideMark/>
          </w:tcPr>
          <w:p w14:paraId="7093797F"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89.067</w:t>
            </w:r>
          </w:p>
        </w:tc>
        <w:tc>
          <w:tcPr>
            <w:tcW w:w="960" w:type="dxa"/>
            <w:shd w:val="clear" w:color="auto" w:fill="auto"/>
            <w:noWrap/>
            <w:vAlign w:val="bottom"/>
            <w:hideMark/>
          </w:tcPr>
          <w:p w14:paraId="64A8FDF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178.283</w:t>
            </w:r>
          </w:p>
        </w:tc>
        <w:tc>
          <w:tcPr>
            <w:tcW w:w="960" w:type="dxa"/>
            <w:shd w:val="clear" w:color="auto" w:fill="auto"/>
            <w:noWrap/>
            <w:vAlign w:val="bottom"/>
            <w:hideMark/>
          </w:tcPr>
          <w:p w14:paraId="4222C35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922.206</w:t>
            </w:r>
          </w:p>
        </w:tc>
        <w:tc>
          <w:tcPr>
            <w:tcW w:w="960" w:type="dxa"/>
            <w:shd w:val="clear" w:color="auto" w:fill="auto"/>
            <w:noWrap/>
            <w:vAlign w:val="bottom"/>
            <w:hideMark/>
          </w:tcPr>
          <w:p w14:paraId="4AABE02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8.434</w:t>
            </w:r>
          </w:p>
        </w:tc>
        <w:tc>
          <w:tcPr>
            <w:tcW w:w="960" w:type="dxa"/>
            <w:shd w:val="clear" w:color="auto" w:fill="auto"/>
            <w:noWrap/>
            <w:vAlign w:val="bottom"/>
            <w:hideMark/>
          </w:tcPr>
          <w:p w14:paraId="3EC411D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1756.459</w:t>
            </w:r>
          </w:p>
        </w:tc>
      </w:tr>
      <w:tr w:rsidR="0009676B" w:rsidRPr="006E04D7" w14:paraId="4B335E30" w14:textId="77777777" w:rsidTr="0009676B">
        <w:trPr>
          <w:trHeight w:val="300"/>
        </w:trPr>
        <w:tc>
          <w:tcPr>
            <w:tcW w:w="960" w:type="dxa"/>
            <w:shd w:val="clear" w:color="auto" w:fill="auto"/>
            <w:noWrap/>
            <w:vAlign w:val="bottom"/>
            <w:hideMark/>
          </w:tcPr>
          <w:p w14:paraId="39CF512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2006</w:t>
            </w:r>
          </w:p>
        </w:tc>
        <w:tc>
          <w:tcPr>
            <w:tcW w:w="1120" w:type="dxa"/>
            <w:shd w:val="clear" w:color="auto" w:fill="auto"/>
            <w:noWrap/>
            <w:vAlign w:val="bottom"/>
            <w:hideMark/>
          </w:tcPr>
          <w:p w14:paraId="6169B9E2"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0.309</w:t>
            </w:r>
          </w:p>
        </w:tc>
        <w:tc>
          <w:tcPr>
            <w:tcW w:w="1200" w:type="dxa"/>
            <w:shd w:val="clear" w:color="auto" w:fill="auto"/>
            <w:noWrap/>
            <w:vAlign w:val="bottom"/>
            <w:hideMark/>
          </w:tcPr>
          <w:p w14:paraId="300D0D16"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714.42298</w:t>
            </w:r>
          </w:p>
        </w:tc>
        <w:tc>
          <w:tcPr>
            <w:tcW w:w="960" w:type="dxa"/>
            <w:shd w:val="clear" w:color="auto" w:fill="auto"/>
            <w:noWrap/>
            <w:vAlign w:val="bottom"/>
            <w:hideMark/>
          </w:tcPr>
          <w:p w14:paraId="7FBBD3B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85.287</w:t>
            </w:r>
          </w:p>
        </w:tc>
        <w:tc>
          <w:tcPr>
            <w:tcW w:w="960" w:type="dxa"/>
            <w:shd w:val="clear" w:color="auto" w:fill="auto"/>
            <w:noWrap/>
            <w:vAlign w:val="bottom"/>
            <w:hideMark/>
          </w:tcPr>
          <w:p w14:paraId="63B6F63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3.594</w:t>
            </w:r>
          </w:p>
        </w:tc>
        <w:tc>
          <w:tcPr>
            <w:tcW w:w="960" w:type="dxa"/>
            <w:shd w:val="clear" w:color="auto" w:fill="auto"/>
            <w:noWrap/>
            <w:vAlign w:val="bottom"/>
            <w:hideMark/>
          </w:tcPr>
          <w:p w14:paraId="7D0F8B7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1004.825</w:t>
            </w:r>
          </w:p>
        </w:tc>
        <w:tc>
          <w:tcPr>
            <w:tcW w:w="960" w:type="dxa"/>
            <w:shd w:val="clear" w:color="auto" w:fill="auto"/>
            <w:noWrap/>
            <w:vAlign w:val="bottom"/>
            <w:hideMark/>
          </w:tcPr>
          <w:p w14:paraId="58655F7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2.998</w:t>
            </w:r>
          </w:p>
        </w:tc>
        <w:tc>
          <w:tcPr>
            <w:tcW w:w="960" w:type="dxa"/>
            <w:shd w:val="clear" w:color="auto" w:fill="auto"/>
            <w:noWrap/>
            <w:vAlign w:val="bottom"/>
            <w:hideMark/>
          </w:tcPr>
          <w:p w14:paraId="440D3EEA"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1811.436</w:t>
            </w:r>
          </w:p>
        </w:tc>
      </w:tr>
      <w:tr w:rsidR="0009676B" w:rsidRPr="006E04D7" w14:paraId="6AC812FE" w14:textId="77777777" w:rsidTr="0009676B">
        <w:trPr>
          <w:trHeight w:val="300"/>
        </w:trPr>
        <w:tc>
          <w:tcPr>
            <w:tcW w:w="960" w:type="dxa"/>
            <w:shd w:val="clear" w:color="auto" w:fill="auto"/>
            <w:noWrap/>
            <w:vAlign w:val="bottom"/>
            <w:hideMark/>
          </w:tcPr>
          <w:p w14:paraId="0CB146B6"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2007</w:t>
            </w:r>
          </w:p>
        </w:tc>
        <w:tc>
          <w:tcPr>
            <w:tcW w:w="1120" w:type="dxa"/>
            <w:shd w:val="clear" w:color="auto" w:fill="auto"/>
            <w:noWrap/>
            <w:vAlign w:val="bottom"/>
            <w:hideMark/>
          </w:tcPr>
          <w:p w14:paraId="07F25D7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w:t>
            </w:r>
          </w:p>
        </w:tc>
        <w:tc>
          <w:tcPr>
            <w:tcW w:w="1200" w:type="dxa"/>
            <w:shd w:val="clear" w:color="auto" w:fill="auto"/>
            <w:noWrap/>
            <w:vAlign w:val="bottom"/>
            <w:hideMark/>
          </w:tcPr>
          <w:p w14:paraId="77F8F559"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520.08715</w:t>
            </w:r>
          </w:p>
        </w:tc>
        <w:tc>
          <w:tcPr>
            <w:tcW w:w="960" w:type="dxa"/>
            <w:shd w:val="clear" w:color="auto" w:fill="auto"/>
            <w:noWrap/>
            <w:vAlign w:val="bottom"/>
            <w:hideMark/>
          </w:tcPr>
          <w:p w14:paraId="24E943F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63.05299</w:t>
            </w:r>
          </w:p>
        </w:tc>
        <w:tc>
          <w:tcPr>
            <w:tcW w:w="960" w:type="dxa"/>
            <w:shd w:val="clear" w:color="auto" w:fill="auto"/>
            <w:noWrap/>
            <w:vAlign w:val="bottom"/>
            <w:hideMark/>
          </w:tcPr>
          <w:p w14:paraId="23E1B659"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27.948</w:t>
            </w:r>
          </w:p>
        </w:tc>
        <w:tc>
          <w:tcPr>
            <w:tcW w:w="960" w:type="dxa"/>
            <w:shd w:val="clear" w:color="auto" w:fill="auto"/>
            <w:noWrap/>
            <w:vAlign w:val="bottom"/>
            <w:hideMark/>
          </w:tcPr>
          <w:p w14:paraId="251D36B8"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1022.884</w:t>
            </w:r>
          </w:p>
        </w:tc>
        <w:tc>
          <w:tcPr>
            <w:tcW w:w="960" w:type="dxa"/>
            <w:shd w:val="clear" w:color="auto" w:fill="auto"/>
            <w:noWrap/>
            <w:vAlign w:val="bottom"/>
            <w:hideMark/>
          </w:tcPr>
          <w:p w14:paraId="6CC90822"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3.591</w:t>
            </w:r>
          </w:p>
        </w:tc>
        <w:tc>
          <w:tcPr>
            <w:tcW w:w="960" w:type="dxa"/>
            <w:shd w:val="clear" w:color="auto" w:fill="auto"/>
            <w:noWrap/>
            <w:vAlign w:val="bottom"/>
            <w:hideMark/>
          </w:tcPr>
          <w:p w14:paraId="7749F1A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1637.563</w:t>
            </w:r>
          </w:p>
        </w:tc>
      </w:tr>
      <w:tr w:rsidR="0009676B" w:rsidRPr="006E04D7" w14:paraId="495C7152" w14:textId="77777777" w:rsidTr="0009676B">
        <w:trPr>
          <w:trHeight w:val="300"/>
        </w:trPr>
        <w:tc>
          <w:tcPr>
            <w:tcW w:w="960" w:type="dxa"/>
            <w:shd w:val="clear" w:color="auto" w:fill="auto"/>
            <w:noWrap/>
            <w:vAlign w:val="bottom"/>
            <w:hideMark/>
          </w:tcPr>
          <w:p w14:paraId="188D823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2008</w:t>
            </w:r>
          </w:p>
        </w:tc>
        <w:tc>
          <w:tcPr>
            <w:tcW w:w="1120" w:type="dxa"/>
            <w:shd w:val="clear" w:color="auto" w:fill="auto"/>
            <w:noWrap/>
            <w:vAlign w:val="bottom"/>
            <w:hideMark/>
          </w:tcPr>
          <w:p w14:paraId="07C8B5F9"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0.5552</w:t>
            </w:r>
          </w:p>
        </w:tc>
        <w:tc>
          <w:tcPr>
            <w:tcW w:w="1200" w:type="dxa"/>
            <w:shd w:val="clear" w:color="auto" w:fill="auto"/>
            <w:noWrap/>
            <w:vAlign w:val="bottom"/>
            <w:hideMark/>
          </w:tcPr>
          <w:p w14:paraId="39F9C3F6"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764.86026</w:t>
            </w:r>
          </w:p>
        </w:tc>
        <w:tc>
          <w:tcPr>
            <w:tcW w:w="960" w:type="dxa"/>
            <w:shd w:val="clear" w:color="auto" w:fill="auto"/>
            <w:noWrap/>
            <w:vAlign w:val="bottom"/>
            <w:hideMark/>
          </w:tcPr>
          <w:p w14:paraId="3DDF782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77.92622</w:t>
            </w:r>
          </w:p>
        </w:tc>
        <w:tc>
          <w:tcPr>
            <w:tcW w:w="960" w:type="dxa"/>
            <w:shd w:val="clear" w:color="auto" w:fill="auto"/>
            <w:noWrap/>
            <w:vAlign w:val="bottom"/>
            <w:hideMark/>
          </w:tcPr>
          <w:p w14:paraId="41123EF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w:t>
            </w:r>
          </w:p>
        </w:tc>
        <w:tc>
          <w:tcPr>
            <w:tcW w:w="960" w:type="dxa"/>
            <w:shd w:val="clear" w:color="auto" w:fill="auto"/>
            <w:noWrap/>
            <w:vAlign w:val="bottom"/>
            <w:hideMark/>
          </w:tcPr>
          <w:p w14:paraId="7405B9A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1133.363</w:t>
            </w:r>
          </w:p>
        </w:tc>
        <w:tc>
          <w:tcPr>
            <w:tcW w:w="960" w:type="dxa"/>
            <w:shd w:val="clear" w:color="auto" w:fill="auto"/>
            <w:noWrap/>
            <w:vAlign w:val="bottom"/>
            <w:hideMark/>
          </w:tcPr>
          <w:p w14:paraId="1AAF4F06"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23.005</w:t>
            </w:r>
          </w:p>
        </w:tc>
        <w:tc>
          <w:tcPr>
            <w:tcW w:w="960" w:type="dxa"/>
            <w:shd w:val="clear" w:color="auto" w:fill="auto"/>
            <w:noWrap/>
            <w:vAlign w:val="bottom"/>
            <w:hideMark/>
          </w:tcPr>
          <w:p w14:paraId="527764A2"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1999.71</w:t>
            </w:r>
          </w:p>
        </w:tc>
      </w:tr>
      <w:tr w:rsidR="0009676B" w:rsidRPr="006E04D7" w14:paraId="09475595" w14:textId="77777777" w:rsidTr="0009676B">
        <w:trPr>
          <w:trHeight w:val="300"/>
        </w:trPr>
        <w:tc>
          <w:tcPr>
            <w:tcW w:w="960" w:type="dxa"/>
            <w:shd w:val="clear" w:color="auto" w:fill="auto"/>
            <w:noWrap/>
            <w:vAlign w:val="bottom"/>
            <w:hideMark/>
          </w:tcPr>
          <w:p w14:paraId="7A7421CA"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2009</w:t>
            </w:r>
          </w:p>
        </w:tc>
        <w:tc>
          <w:tcPr>
            <w:tcW w:w="1120" w:type="dxa"/>
            <w:shd w:val="clear" w:color="auto" w:fill="auto"/>
            <w:noWrap/>
            <w:vAlign w:val="bottom"/>
            <w:hideMark/>
          </w:tcPr>
          <w:p w14:paraId="54413BC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p>
        </w:tc>
        <w:tc>
          <w:tcPr>
            <w:tcW w:w="1200" w:type="dxa"/>
            <w:shd w:val="clear" w:color="auto" w:fill="auto"/>
            <w:noWrap/>
            <w:vAlign w:val="bottom"/>
            <w:hideMark/>
          </w:tcPr>
          <w:p w14:paraId="659EB1E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573.46815</w:t>
            </w:r>
          </w:p>
        </w:tc>
        <w:tc>
          <w:tcPr>
            <w:tcW w:w="960" w:type="dxa"/>
            <w:shd w:val="clear" w:color="auto" w:fill="auto"/>
            <w:noWrap/>
            <w:vAlign w:val="bottom"/>
            <w:hideMark/>
          </w:tcPr>
          <w:p w14:paraId="141CEE9A"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120.6684</w:t>
            </w:r>
          </w:p>
        </w:tc>
        <w:tc>
          <w:tcPr>
            <w:tcW w:w="960" w:type="dxa"/>
            <w:shd w:val="clear" w:color="auto" w:fill="auto"/>
            <w:noWrap/>
            <w:vAlign w:val="bottom"/>
            <w:hideMark/>
          </w:tcPr>
          <w:p w14:paraId="34FA361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11.43974</w:t>
            </w:r>
          </w:p>
        </w:tc>
        <w:tc>
          <w:tcPr>
            <w:tcW w:w="960" w:type="dxa"/>
            <w:shd w:val="clear" w:color="auto" w:fill="auto"/>
            <w:noWrap/>
            <w:vAlign w:val="bottom"/>
            <w:hideMark/>
          </w:tcPr>
          <w:p w14:paraId="7DF9769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1250.489</w:t>
            </w:r>
          </w:p>
        </w:tc>
        <w:tc>
          <w:tcPr>
            <w:tcW w:w="960" w:type="dxa"/>
            <w:shd w:val="clear" w:color="auto" w:fill="auto"/>
            <w:noWrap/>
            <w:vAlign w:val="bottom"/>
            <w:hideMark/>
          </w:tcPr>
          <w:p w14:paraId="6646F962"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23.463</w:t>
            </w:r>
          </w:p>
        </w:tc>
        <w:tc>
          <w:tcPr>
            <w:tcW w:w="960" w:type="dxa"/>
            <w:shd w:val="clear" w:color="auto" w:fill="auto"/>
            <w:noWrap/>
            <w:vAlign w:val="bottom"/>
            <w:hideMark/>
          </w:tcPr>
          <w:p w14:paraId="4BDA1AEA"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1979.528</w:t>
            </w:r>
          </w:p>
        </w:tc>
      </w:tr>
      <w:tr w:rsidR="0009676B" w:rsidRPr="006E04D7" w14:paraId="6FE20884" w14:textId="77777777" w:rsidTr="0009676B">
        <w:trPr>
          <w:trHeight w:val="300"/>
        </w:trPr>
        <w:tc>
          <w:tcPr>
            <w:tcW w:w="960" w:type="dxa"/>
            <w:shd w:val="clear" w:color="auto" w:fill="auto"/>
            <w:noWrap/>
            <w:vAlign w:val="bottom"/>
            <w:hideMark/>
          </w:tcPr>
          <w:p w14:paraId="10AAEF0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2010</w:t>
            </w:r>
          </w:p>
        </w:tc>
        <w:tc>
          <w:tcPr>
            <w:tcW w:w="1120" w:type="dxa"/>
            <w:shd w:val="clear" w:color="auto" w:fill="auto"/>
            <w:noWrap/>
            <w:vAlign w:val="bottom"/>
            <w:hideMark/>
          </w:tcPr>
          <w:p w14:paraId="08A188D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2.67668</w:t>
            </w:r>
          </w:p>
        </w:tc>
        <w:tc>
          <w:tcPr>
            <w:tcW w:w="1200" w:type="dxa"/>
            <w:shd w:val="clear" w:color="auto" w:fill="auto"/>
            <w:noWrap/>
            <w:vAlign w:val="bottom"/>
            <w:hideMark/>
          </w:tcPr>
          <w:p w14:paraId="380C302C"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703.07713</w:t>
            </w:r>
          </w:p>
        </w:tc>
        <w:tc>
          <w:tcPr>
            <w:tcW w:w="960" w:type="dxa"/>
            <w:shd w:val="clear" w:color="auto" w:fill="auto"/>
            <w:noWrap/>
            <w:vAlign w:val="bottom"/>
            <w:hideMark/>
          </w:tcPr>
          <w:p w14:paraId="46A0D01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106.6837</w:t>
            </w:r>
          </w:p>
        </w:tc>
        <w:tc>
          <w:tcPr>
            <w:tcW w:w="960" w:type="dxa"/>
            <w:shd w:val="clear" w:color="auto" w:fill="auto"/>
            <w:noWrap/>
            <w:vAlign w:val="bottom"/>
            <w:hideMark/>
          </w:tcPr>
          <w:p w14:paraId="225AEBFA"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w:t>
            </w:r>
          </w:p>
        </w:tc>
        <w:tc>
          <w:tcPr>
            <w:tcW w:w="960" w:type="dxa"/>
            <w:shd w:val="clear" w:color="auto" w:fill="auto"/>
            <w:noWrap/>
            <w:vAlign w:val="bottom"/>
            <w:hideMark/>
          </w:tcPr>
          <w:p w14:paraId="151B9A75"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1006.198</w:t>
            </w:r>
          </w:p>
        </w:tc>
        <w:tc>
          <w:tcPr>
            <w:tcW w:w="960" w:type="dxa"/>
            <w:shd w:val="clear" w:color="auto" w:fill="auto"/>
            <w:noWrap/>
            <w:vAlign w:val="bottom"/>
            <w:hideMark/>
          </w:tcPr>
          <w:p w14:paraId="5F013CAA"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38.787</w:t>
            </w:r>
          </w:p>
        </w:tc>
        <w:tc>
          <w:tcPr>
            <w:tcW w:w="960" w:type="dxa"/>
            <w:shd w:val="clear" w:color="auto" w:fill="auto"/>
            <w:noWrap/>
            <w:vAlign w:val="bottom"/>
            <w:hideMark/>
          </w:tcPr>
          <w:p w14:paraId="4D812E82"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1857.423</w:t>
            </w:r>
          </w:p>
        </w:tc>
      </w:tr>
      <w:tr w:rsidR="0009676B" w:rsidRPr="006E04D7" w14:paraId="453BF218" w14:textId="77777777" w:rsidTr="0009676B">
        <w:trPr>
          <w:trHeight w:val="300"/>
        </w:trPr>
        <w:tc>
          <w:tcPr>
            <w:tcW w:w="960" w:type="dxa"/>
            <w:shd w:val="clear" w:color="auto" w:fill="auto"/>
            <w:noWrap/>
            <w:vAlign w:val="bottom"/>
            <w:hideMark/>
          </w:tcPr>
          <w:p w14:paraId="4D6DA13F"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2011</w:t>
            </w:r>
          </w:p>
        </w:tc>
        <w:tc>
          <w:tcPr>
            <w:tcW w:w="1120" w:type="dxa"/>
            <w:shd w:val="clear" w:color="auto" w:fill="auto"/>
            <w:noWrap/>
            <w:vAlign w:val="bottom"/>
            <w:hideMark/>
          </w:tcPr>
          <w:p w14:paraId="01CFB9F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0.866</w:t>
            </w:r>
          </w:p>
        </w:tc>
        <w:tc>
          <w:tcPr>
            <w:tcW w:w="1200" w:type="dxa"/>
            <w:shd w:val="clear" w:color="auto" w:fill="auto"/>
            <w:noWrap/>
            <w:vAlign w:val="bottom"/>
            <w:hideMark/>
          </w:tcPr>
          <w:p w14:paraId="191D140A"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945.43509</w:t>
            </w:r>
          </w:p>
        </w:tc>
        <w:tc>
          <w:tcPr>
            <w:tcW w:w="960" w:type="dxa"/>
            <w:shd w:val="clear" w:color="auto" w:fill="auto"/>
            <w:noWrap/>
            <w:vAlign w:val="bottom"/>
            <w:hideMark/>
          </w:tcPr>
          <w:p w14:paraId="0B969409"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131.114</w:t>
            </w:r>
          </w:p>
        </w:tc>
        <w:tc>
          <w:tcPr>
            <w:tcW w:w="960" w:type="dxa"/>
            <w:shd w:val="clear" w:color="auto" w:fill="auto"/>
            <w:noWrap/>
            <w:vAlign w:val="bottom"/>
            <w:hideMark/>
          </w:tcPr>
          <w:p w14:paraId="2AB9E3E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w:t>
            </w:r>
          </w:p>
        </w:tc>
        <w:tc>
          <w:tcPr>
            <w:tcW w:w="960" w:type="dxa"/>
            <w:shd w:val="clear" w:color="auto" w:fill="auto"/>
            <w:noWrap/>
            <w:vAlign w:val="bottom"/>
            <w:hideMark/>
          </w:tcPr>
          <w:p w14:paraId="3869DFF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886.7376</w:t>
            </w:r>
          </w:p>
        </w:tc>
        <w:tc>
          <w:tcPr>
            <w:tcW w:w="960" w:type="dxa"/>
            <w:shd w:val="clear" w:color="auto" w:fill="auto"/>
            <w:noWrap/>
            <w:vAlign w:val="bottom"/>
            <w:hideMark/>
          </w:tcPr>
          <w:p w14:paraId="50C159D9"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42.605</w:t>
            </w:r>
          </w:p>
        </w:tc>
        <w:tc>
          <w:tcPr>
            <w:tcW w:w="960" w:type="dxa"/>
            <w:shd w:val="clear" w:color="auto" w:fill="auto"/>
            <w:noWrap/>
            <w:vAlign w:val="bottom"/>
            <w:hideMark/>
          </w:tcPr>
          <w:p w14:paraId="24A0BB3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2006.758</w:t>
            </w:r>
          </w:p>
        </w:tc>
      </w:tr>
      <w:tr w:rsidR="0009676B" w:rsidRPr="006E04D7" w14:paraId="067B5E15" w14:textId="77777777" w:rsidTr="0009676B">
        <w:trPr>
          <w:trHeight w:val="300"/>
        </w:trPr>
        <w:tc>
          <w:tcPr>
            <w:tcW w:w="960" w:type="dxa"/>
            <w:shd w:val="clear" w:color="auto" w:fill="auto"/>
            <w:noWrap/>
            <w:vAlign w:val="bottom"/>
            <w:hideMark/>
          </w:tcPr>
          <w:p w14:paraId="27C361E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2012</w:t>
            </w:r>
          </w:p>
        </w:tc>
        <w:tc>
          <w:tcPr>
            <w:tcW w:w="1120" w:type="dxa"/>
            <w:shd w:val="clear" w:color="auto" w:fill="auto"/>
            <w:noWrap/>
            <w:vAlign w:val="bottom"/>
            <w:hideMark/>
          </w:tcPr>
          <w:p w14:paraId="0D8EC27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1.313</w:t>
            </w:r>
          </w:p>
        </w:tc>
        <w:tc>
          <w:tcPr>
            <w:tcW w:w="1200" w:type="dxa"/>
            <w:shd w:val="clear" w:color="auto" w:fill="auto"/>
            <w:noWrap/>
            <w:vAlign w:val="bottom"/>
            <w:hideMark/>
          </w:tcPr>
          <w:p w14:paraId="38C62A6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701.71299</w:t>
            </w:r>
          </w:p>
        </w:tc>
        <w:tc>
          <w:tcPr>
            <w:tcW w:w="960" w:type="dxa"/>
            <w:shd w:val="clear" w:color="auto" w:fill="auto"/>
            <w:noWrap/>
            <w:vAlign w:val="bottom"/>
            <w:hideMark/>
          </w:tcPr>
          <w:p w14:paraId="255500C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117.262</w:t>
            </w:r>
          </w:p>
        </w:tc>
        <w:tc>
          <w:tcPr>
            <w:tcW w:w="960" w:type="dxa"/>
            <w:shd w:val="clear" w:color="auto" w:fill="auto"/>
            <w:noWrap/>
            <w:vAlign w:val="bottom"/>
            <w:hideMark/>
          </w:tcPr>
          <w:p w14:paraId="490C23A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1.678</w:t>
            </w:r>
          </w:p>
        </w:tc>
        <w:tc>
          <w:tcPr>
            <w:tcW w:w="960" w:type="dxa"/>
            <w:shd w:val="clear" w:color="auto" w:fill="auto"/>
            <w:noWrap/>
            <w:vAlign w:val="bottom"/>
            <w:hideMark/>
          </w:tcPr>
          <w:p w14:paraId="71C037BF"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915.385</w:t>
            </w:r>
          </w:p>
        </w:tc>
        <w:tc>
          <w:tcPr>
            <w:tcW w:w="960" w:type="dxa"/>
            <w:shd w:val="clear" w:color="auto" w:fill="auto"/>
            <w:noWrap/>
            <w:vAlign w:val="bottom"/>
            <w:hideMark/>
          </w:tcPr>
          <w:p w14:paraId="76278D2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16.575</w:t>
            </w:r>
          </w:p>
        </w:tc>
        <w:tc>
          <w:tcPr>
            <w:tcW w:w="960" w:type="dxa"/>
            <w:shd w:val="clear" w:color="auto" w:fill="auto"/>
            <w:noWrap/>
            <w:vAlign w:val="bottom"/>
            <w:hideMark/>
          </w:tcPr>
          <w:p w14:paraId="665FDBA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1753.926</w:t>
            </w:r>
          </w:p>
        </w:tc>
      </w:tr>
      <w:tr w:rsidR="0009676B" w:rsidRPr="006E04D7" w14:paraId="6C89C143" w14:textId="77777777" w:rsidTr="0009676B">
        <w:trPr>
          <w:trHeight w:val="300"/>
        </w:trPr>
        <w:tc>
          <w:tcPr>
            <w:tcW w:w="960" w:type="dxa"/>
            <w:shd w:val="clear" w:color="auto" w:fill="auto"/>
            <w:noWrap/>
            <w:vAlign w:val="bottom"/>
            <w:hideMark/>
          </w:tcPr>
          <w:p w14:paraId="45D5042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2013</w:t>
            </w:r>
          </w:p>
        </w:tc>
        <w:tc>
          <w:tcPr>
            <w:tcW w:w="1120" w:type="dxa"/>
            <w:shd w:val="clear" w:color="auto" w:fill="auto"/>
            <w:noWrap/>
            <w:vAlign w:val="bottom"/>
            <w:hideMark/>
          </w:tcPr>
          <w:p w14:paraId="180C17D2"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w:t>
            </w:r>
          </w:p>
        </w:tc>
        <w:tc>
          <w:tcPr>
            <w:tcW w:w="1200" w:type="dxa"/>
            <w:shd w:val="clear" w:color="auto" w:fill="auto"/>
            <w:noWrap/>
            <w:vAlign w:val="bottom"/>
            <w:hideMark/>
          </w:tcPr>
          <w:p w14:paraId="22FA7EC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614.86493</w:t>
            </w:r>
          </w:p>
        </w:tc>
        <w:tc>
          <w:tcPr>
            <w:tcW w:w="960" w:type="dxa"/>
            <w:shd w:val="clear" w:color="auto" w:fill="auto"/>
            <w:noWrap/>
            <w:vAlign w:val="bottom"/>
            <w:hideMark/>
          </w:tcPr>
          <w:p w14:paraId="7EDD4CB6"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121.331</w:t>
            </w:r>
          </w:p>
        </w:tc>
        <w:tc>
          <w:tcPr>
            <w:tcW w:w="960" w:type="dxa"/>
            <w:shd w:val="clear" w:color="auto" w:fill="auto"/>
            <w:noWrap/>
            <w:vAlign w:val="bottom"/>
            <w:hideMark/>
          </w:tcPr>
          <w:p w14:paraId="0AD4CE78"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42.54103</w:t>
            </w:r>
          </w:p>
        </w:tc>
        <w:tc>
          <w:tcPr>
            <w:tcW w:w="960" w:type="dxa"/>
            <w:shd w:val="clear" w:color="auto" w:fill="auto"/>
            <w:noWrap/>
            <w:vAlign w:val="bottom"/>
            <w:hideMark/>
          </w:tcPr>
          <w:p w14:paraId="210177E2"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690.8103</w:t>
            </w:r>
          </w:p>
        </w:tc>
        <w:tc>
          <w:tcPr>
            <w:tcW w:w="960" w:type="dxa"/>
            <w:shd w:val="clear" w:color="auto" w:fill="auto"/>
            <w:noWrap/>
            <w:vAlign w:val="bottom"/>
            <w:hideMark/>
          </w:tcPr>
          <w:p w14:paraId="5060EBF9"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11.372</w:t>
            </w:r>
          </w:p>
        </w:tc>
        <w:tc>
          <w:tcPr>
            <w:tcW w:w="960" w:type="dxa"/>
            <w:shd w:val="clear" w:color="auto" w:fill="auto"/>
            <w:noWrap/>
            <w:vAlign w:val="bottom"/>
            <w:hideMark/>
          </w:tcPr>
          <w:p w14:paraId="3149854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1480.919</w:t>
            </w:r>
          </w:p>
        </w:tc>
      </w:tr>
      <w:tr w:rsidR="0009676B" w:rsidRPr="006E04D7" w14:paraId="48D1147E" w14:textId="77777777" w:rsidTr="0009676B">
        <w:trPr>
          <w:trHeight w:val="300"/>
        </w:trPr>
        <w:tc>
          <w:tcPr>
            <w:tcW w:w="960" w:type="dxa"/>
            <w:shd w:val="clear" w:color="auto" w:fill="auto"/>
            <w:noWrap/>
            <w:vAlign w:val="bottom"/>
            <w:hideMark/>
          </w:tcPr>
          <w:p w14:paraId="7BC81F72"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2014</w:t>
            </w:r>
          </w:p>
        </w:tc>
        <w:tc>
          <w:tcPr>
            <w:tcW w:w="1120" w:type="dxa"/>
            <w:shd w:val="clear" w:color="auto" w:fill="auto"/>
            <w:noWrap/>
            <w:vAlign w:val="bottom"/>
            <w:hideMark/>
          </w:tcPr>
          <w:p w14:paraId="476B5F36"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w:t>
            </w:r>
          </w:p>
        </w:tc>
        <w:tc>
          <w:tcPr>
            <w:tcW w:w="1200" w:type="dxa"/>
            <w:shd w:val="clear" w:color="auto" w:fill="auto"/>
            <w:noWrap/>
            <w:vAlign w:val="bottom"/>
            <w:hideMark/>
          </w:tcPr>
          <w:p w14:paraId="7D306BC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636.27041</w:t>
            </w:r>
          </w:p>
        </w:tc>
        <w:tc>
          <w:tcPr>
            <w:tcW w:w="960" w:type="dxa"/>
            <w:shd w:val="clear" w:color="auto" w:fill="auto"/>
            <w:noWrap/>
            <w:vAlign w:val="bottom"/>
            <w:hideMark/>
          </w:tcPr>
          <w:p w14:paraId="45A30D2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119.0653</w:t>
            </w:r>
          </w:p>
        </w:tc>
        <w:tc>
          <w:tcPr>
            <w:tcW w:w="960" w:type="dxa"/>
            <w:shd w:val="clear" w:color="auto" w:fill="auto"/>
            <w:noWrap/>
            <w:vAlign w:val="bottom"/>
            <w:hideMark/>
          </w:tcPr>
          <w:p w14:paraId="1B3D629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41.84</w:t>
            </w:r>
          </w:p>
        </w:tc>
        <w:tc>
          <w:tcPr>
            <w:tcW w:w="960" w:type="dxa"/>
            <w:shd w:val="clear" w:color="auto" w:fill="auto"/>
            <w:noWrap/>
            <w:vAlign w:val="bottom"/>
            <w:hideMark/>
          </w:tcPr>
          <w:p w14:paraId="1CFB521C"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809.6829</w:t>
            </w:r>
          </w:p>
        </w:tc>
        <w:tc>
          <w:tcPr>
            <w:tcW w:w="960" w:type="dxa"/>
            <w:shd w:val="clear" w:color="auto" w:fill="auto"/>
            <w:noWrap/>
            <w:vAlign w:val="bottom"/>
            <w:hideMark/>
          </w:tcPr>
          <w:p w14:paraId="7089B23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19.544</w:t>
            </w:r>
          </w:p>
        </w:tc>
        <w:tc>
          <w:tcPr>
            <w:tcW w:w="960" w:type="dxa"/>
            <w:shd w:val="clear" w:color="auto" w:fill="auto"/>
            <w:noWrap/>
            <w:vAlign w:val="bottom"/>
            <w:hideMark/>
          </w:tcPr>
          <w:p w14:paraId="6D86009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1626.403</w:t>
            </w:r>
          </w:p>
        </w:tc>
      </w:tr>
      <w:tr w:rsidR="0009676B" w:rsidRPr="006E04D7" w14:paraId="05391506" w14:textId="77777777" w:rsidTr="0009676B">
        <w:trPr>
          <w:trHeight w:val="300"/>
        </w:trPr>
        <w:tc>
          <w:tcPr>
            <w:tcW w:w="960" w:type="dxa"/>
            <w:shd w:val="clear" w:color="auto" w:fill="auto"/>
            <w:noWrap/>
            <w:vAlign w:val="bottom"/>
            <w:hideMark/>
          </w:tcPr>
          <w:p w14:paraId="180C00D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2015</w:t>
            </w:r>
          </w:p>
        </w:tc>
        <w:tc>
          <w:tcPr>
            <w:tcW w:w="1120" w:type="dxa"/>
            <w:shd w:val="clear" w:color="auto" w:fill="auto"/>
            <w:noWrap/>
            <w:vAlign w:val="bottom"/>
            <w:hideMark/>
          </w:tcPr>
          <w:p w14:paraId="1F87F9A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1.736</w:t>
            </w:r>
          </w:p>
        </w:tc>
        <w:tc>
          <w:tcPr>
            <w:tcW w:w="1200" w:type="dxa"/>
            <w:shd w:val="clear" w:color="auto" w:fill="auto"/>
            <w:noWrap/>
            <w:vAlign w:val="bottom"/>
            <w:hideMark/>
          </w:tcPr>
          <w:p w14:paraId="3E80C665"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572.08996</w:t>
            </w:r>
          </w:p>
        </w:tc>
        <w:tc>
          <w:tcPr>
            <w:tcW w:w="960" w:type="dxa"/>
            <w:shd w:val="clear" w:color="auto" w:fill="auto"/>
            <w:noWrap/>
            <w:vAlign w:val="bottom"/>
            <w:hideMark/>
          </w:tcPr>
          <w:p w14:paraId="6D47E4E9"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138.8339</w:t>
            </w:r>
          </w:p>
        </w:tc>
        <w:tc>
          <w:tcPr>
            <w:tcW w:w="960" w:type="dxa"/>
            <w:shd w:val="clear" w:color="auto" w:fill="auto"/>
            <w:noWrap/>
            <w:vAlign w:val="bottom"/>
            <w:hideMark/>
          </w:tcPr>
          <w:p w14:paraId="7A259EC6"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38.84898</w:t>
            </w:r>
          </w:p>
        </w:tc>
        <w:tc>
          <w:tcPr>
            <w:tcW w:w="960" w:type="dxa"/>
            <w:shd w:val="clear" w:color="auto" w:fill="auto"/>
            <w:noWrap/>
            <w:vAlign w:val="bottom"/>
            <w:hideMark/>
          </w:tcPr>
          <w:p w14:paraId="104913EF"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1083.596</w:t>
            </w:r>
          </w:p>
        </w:tc>
        <w:tc>
          <w:tcPr>
            <w:tcW w:w="960" w:type="dxa"/>
            <w:shd w:val="clear" w:color="auto" w:fill="auto"/>
            <w:noWrap/>
            <w:vAlign w:val="bottom"/>
            <w:hideMark/>
          </w:tcPr>
          <w:p w14:paraId="5E8E70F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6.4728</w:t>
            </w:r>
          </w:p>
        </w:tc>
        <w:tc>
          <w:tcPr>
            <w:tcW w:w="960" w:type="dxa"/>
            <w:shd w:val="clear" w:color="auto" w:fill="auto"/>
            <w:noWrap/>
            <w:vAlign w:val="bottom"/>
            <w:hideMark/>
          </w:tcPr>
          <w:p w14:paraId="1991B0D2"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1841.577</w:t>
            </w:r>
          </w:p>
        </w:tc>
      </w:tr>
      <w:tr w:rsidR="0009676B" w:rsidRPr="006E04D7" w14:paraId="38FCAF5B" w14:textId="77777777" w:rsidTr="0009676B">
        <w:trPr>
          <w:trHeight w:val="300"/>
        </w:trPr>
        <w:tc>
          <w:tcPr>
            <w:tcW w:w="960" w:type="dxa"/>
            <w:shd w:val="clear" w:color="auto" w:fill="auto"/>
            <w:noWrap/>
            <w:vAlign w:val="bottom"/>
            <w:hideMark/>
          </w:tcPr>
          <w:p w14:paraId="79E84B8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2016</w:t>
            </w:r>
          </w:p>
        </w:tc>
        <w:tc>
          <w:tcPr>
            <w:tcW w:w="1120" w:type="dxa"/>
            <w:shd w:val="clear" w:color="auto" w:fill="auto"/>
            <w:noWrap/>
            <w:vAlign w:val="bottom"/>
            <w:hideMark/>
          </w:tcPr>
          <w:p w14:paraId="5FA5D39A"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14.23204</w:t>
            </w:r>
          </w:p>
        </w:tc>
        <w:tc>
          <w:tcPr>
            <w:tcW w:w="1200" w:type="dxa"/>
            <w:shd w:val="clear" w:color="auto" w:fill="auto"/>
            <w:noWrap/>
            <w:vAlign w:val="bottom"/>
            <w:hideMark/>
          </w:tcPr>
          <w:p w14:paraId="77B3B44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591.22183</w:t>
            </w:r>
          </w:p>
        </w:tc>
        <w:tc>
          <w:tcPr>
            <w:tcW w:w="960" w:type="dxa"/>
            <w:shd w:val="clear" w:color="auto" w:fill="auto"/>
            <w:noWrap/>
            <w:vAlign w:val="bottom"/>
            <w:hideMark/>
          </w:tcPr>
          <w:p w14:paraId="4416FE6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95.87119</w:t>
            </w:r>
          </w:p>
        </w:tc>
        <w:tc>
          <w:tcPr>
            <w:tcW w:w="960" w:type="dxa"/>
            <w:shd w:val="clear" w:color="auto" w:fill="auto"/>
            <w:noWrap/>
            <w:vAlign w:val="bottom"/>
            <w:hideMark/>
          </w:tcPr>
          <w:p w14:paraId="41297DEB"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w:t>
            </w:r>
          </w:p>
        </w:tc>
        <w:tc>
          <w:tcPr>
            <w:tcW w:w="960" w:type="dxa"/>
            <w:shd w:val="clear" w:color="auto" w:fill="auto"/>
            <w:noWrap/>
            <w:vAlign w:val="bottom"/>
            <w:hideMark/>
          </w:tcPr>
          <w:p w14:paraId="6FD0806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1190.021</w:t>
            </w:r>
          </w:p>
        </w:tc>
        <w:tc>
          <w:tcPr>
            <w:tcW w:w="960" w:type="dxa"/>
            <w:shd w:val="clear" w:color="auto" w:fill="auto"/>
            <w:noWrap/>
            <w:vAlign w:val="bottom"/>
            <w:hideMark/>
          </w:tcPr>
          <w:p w14:paraId="2CDBD08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9.5176</w:t>
            </w:r>
          </w:p>
        </w:tc>
        <w:tc>
          <w:tcPr>
            <w:tcW w:w="960" w:type="dxa"/>
            <w:shd w:val="clear" w:color="auto" w:fill="auto"/>
            <w:noWrap/>
            <w:vAlign w:val="bottom"/>
            <w:hideMark/>
          </w:tcPr>
          <w:p w14:paraId="07DCB447"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1900.863</w:t>
            </w:r>
          </w:p>
        </w:tc>
      </w:tr>
      <w:tr w:rsidR="0009676B" w:rsidRPr="006E04D7" w14:paraId="27E9BDC7" w14:textId="77777777" w:rsidTr="0009676B">
        <w:trPr>
          <w:trHeight w:val="300"/>
        </w:trPr>
        <w:tc>
          <w:tcPr>
            <w:tcW w:w="960" w:type="dxa"/>
            <w:shd w:val="clear" w:color="auto" w:fill="auto"/>
            <w:noWrap/>
            <w:vAlign w:val="bottom"/>
            <w:hideMark/>
          </w:tcPr>
          <w:p w14:paraId="50E00C4D"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2017</w:t>
            </w:r>
          </w:p>
        </w:tc>
        <w:tc>
          <w:tcPr>
            <w:tcW w:w="1120" w:type="dxa"/>
            <w:shd w:val="clear" w:color="auto" w:fill="auto"/>
            <w:noWrap/>
            <w:vAlign w:val="bottom"/>
            <w:hideMark/>
          </w:tcPr>
          <w:p w14:paraId="3E44C26F"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5.04301</w:t>
            </w:r>
          </w:p>
        </w:tc>
        <w:tc>
          <w:tcPr>
            <w:tcW w:w="1200" w:type="dxa"/>
            <w:shd w:val="clear" w:color="auto" w:fill="auto"/>
            <w:noWrap/>
            <w:vAlign w:val="bottom"/>
            <w:hideMark/>
          </w:tcPr>
          <w:p w14:paraId="6EE3FBB5"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615.12254</w:t>
            </w:r>
          </w:p>
        </w:tc>
        <w:tc>
          <w:tcPr>
            <w:tcW w:w="960" w:type="dxa"/>
            <w:shd w:val="clear" w:color="auto" w:fill="auto"/>
            <w:noWrap/>
            <w:vAlign w:val="bottom"/>
            <w:hideMark/>
          </w:tcPr>
          <w:p w14:paraId="3B3C315C"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123.6575</w:t>
            </w:r>
          </w:p>
        </w:tc>
        <w:tc>
          <w:tcPr>
            <w:tcW w:w="960" w:type="dxa"/>
            <w:shd w:val="clear" w:color="auto" w:fill="auto"/>
            <w:noWrap/>
            <w:vAlign w:val="bottom"/>
            <w:hideMark/>
          </w:tcPr>
          <w:p w14:paraId="0F3E71C3"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0</w:t>
            </w:r>
          </w:p>
        </w:tc>
        <w:tc>
          <w:tcPr>
            <w:tcW w:w="960" w:type="dxa"/>
            <w:shd w:val="clear" w:color="auto" w:fill="auto"/>
            <w:noWrap/>
            <w:vAlign w:val="bottom"/>
            <w:hideMark/>
          </w:tcPr>
          <w:p w14:paraId="699F096C"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1138.769</w:t>
            </w:r>
          </w:p>
        </w:tc>
        <w:tc>
          <w:tcPr>
            <w:tcW w:w="960" w:type="dxa"/>
            <w:shd w:val="clear" w:color="auto" w:fill="auto"/>
            <w:noWrap/>
            <w:vAlign w:val="bottom"/>
            <w:hideMark/>
          </w:tcPr>
          <w:p w14:paraId="15396E4C"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12.62723</w:t>
            </w:r>
          </w:p>
        </w:tc>
        <w:tc>
          <w:tcPr>
            <w:tcW w:w="960" w:type="dxa"/>
            <w:shd w:val="clear" w:color="auto" w:fill="auto"/>
            <w:noWrap/>
            <w:vAlign w:val="bottom"/>
            <w:hideMark/>
          </w:tcPr>
          <w:p w14:paraId="574908F7"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1895.219</w:t>
            </w:r>
          </w:p>
        </w:tc>
      </w:tr>
      <w:tr w:rsidR="0009676B" w:rsidRPr="006E04D7" w14:paraId="0256B55D" w14:textId="77777777" w:rsidTr="0009676B">
        <w:trPr>
          <w:trHeight w:val="300"/>
        </w:trPr>
        <w:tc>
          <w:tcPr>
            <w:tcW w:w="960" w:type="dxa"/>
            <w:shd w:val="clear" w:color="auto" w:fill="auto"/>
            <w:noWrap/>
            <w:vAlign w:val="bottom"/>
            <w:hideMark/>
          </w:tcPr>
          <w:p w14:paraId="4D225129"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p>
        </w:tc>
        <w:tc>
          <w:tcPr>
            <w:tcW w:w="1120" w:type="dxa"/>
            <w:shd w:val="clear" w:color="auto" w:fill="auto"/>
            <w:noWrap/>
            <w:vAlign w:val="bottom"/>
            <w:hideMark/>
          </w:tcPr>
          <w:p w14:paraId="389071E1"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219.18798</w:t>
            </w:r>
          </w:p>
        </w:tc>
        <w:tc>
          <w:tcPr>
            <w:tcW w:w="1200" w:type="dxa"/>
            <w:shd w:val="clear" w:color="auto" w:fill="auto"/>
            <w:noWrap/>
            <w:vAlign w:val="bottom"/>
            <w:hideMark/>
          </w:tcPr>
          <w:p w14:paraId="186D925E"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16326.0875</w:t>
            </w:r>
          </w:p>
        </w:tc>
        <w:tc>
          <w:tcPr>
            <w:tcW w:w="960" w:type="dxa"/>
            <w:shd w:val="clear" w:color="auto" w:fill="auto"/>
            <w:noWrap/>
            <w:vAlign w:val="bottom"/>
            <w:hideMark/>
          </w:tcPr>
          <w:p w14:paraId="3E94DA85"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3948.992</w:t>
            </w:r>
          </w:p>
        </w:tc>
        <w:tc>
          <w:tcPr>
            <w:tcW w:w="960" w:type="dxa"/>
            <w:shd w:val="clear" w:color="auto" w:fill="auto"/>
            <w:noWrap/>
            <w:vAlign w:val="bottom"/>
            <w:hideMark/>
          </w:tcPr>
          <w:p w14:paraId="6F8FE6E5"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2563.219</w:t>
            </w:r>
          </w:p>
        </w:tc>
        <w:tc>
          <w:tcPr>
            <w:tcW w:w="960" w:type="dxa"/>
            <w:shd w:val="clear" w:color="auto" w:fill="auto"/>
            <w:noWrap/>
            <w:vAlign w:val="bottom"/>
            <w:hideMark/>
          </w:tcPr>
          <w:p w14:paraId="7E99E370"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25792.14</w:t>
            </w:r>
          </w:p>
        </w:tc>
        <w:tc>
          <w:tcPr>
            <w:tcW w:w="960" w:type="dxa"/>
            <w:shd w:val="clear" w:color="auto" w:fill="auto"/>
            <w:noWrap/>
            <w:vAlign w:val="bottom"/>
            <w:hideMark/>
          </w:tcPr>
          <w:p w14:paraId="70B73074" w14:textId="77777777" w:rsidR="0009676B" w:rsidRPr="006E04D7" w:rsidRDefault="0009676B" w:rsidP="0009676B">
            <w:pPr>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728.4696</w:t>
            </w:r>
          </w:p>
        </w:tc>
        <w:tc>
          <w:tcPr>
            <w:tcW w:w="960" w:type="dxa"/>
            <w:shd w:val="clear" w:color="auto" w:fill="auto"/>
            <w:noWrap/>
            <w:vAlign w:val="bottom"/>
            <w:hideMark/>
          </w:tcPr>
          <w:p w14:paraId="3ECABA37" w14:textId="77777777" w:rsidR="0009676B" w:rsidRPr="006E04D7" w:rsidRDefault="0009676B" w:rsidP="0009676B">
            <w:pPr>
              <w:keepNext/>
              <w:spacing w:after="0" w:line="240" w:lineRule="auto"/>
              <w:jc w:val="right"/>
              <w:rPr>
                <w:rFonts w:ascii="Times New Roman" w:eastAsia="Times New Roman" w:hAnsi="Times New Roman" w:cs="Times New Roman"/>
                <w:color w:val="000000"/>
                <w:lang w:eastAsia="en-GB"/>
              </w:rPr>
            </w:pPr>
            <w:r w:rsidRPr="006E04D7">
              <w:rPr>
                <w:rFonts w:ascii="Times New Roman" w:eastAsia="Times New Roman" w:hAnsi="Times New Roman" w:cs="Times New Roman"/>
                <w:color w:val="000000"/>
                <w:lang w:eastAsia="en-GB"/>
              </w:rPr>
              <w:t>49578.09</w:t>
            </w:r>
          </w:p>
        </w:tc>
      </w:tr>
    </w:tbl>
    <w:p w14:paraId="53785B0B" w14:textId="77777777" w:rsidR="00964FD2" w:rsidRPr="006E04D7" w:rsidRDefault="0009676B" w:rsidP="0009676B">
      <w:pPr>
        <w:pStyle w:val="Caption"/>
        <w:rPr>
          <w:rFonts w:ascii="Times New Roman" w:hAnsi="Times New Roman" w:cs="Times New Roman"/>
          <w:sz w:val="24"/>
          <w:szCs w:val="24"/>
        </w:rPr>
      </w:pPr>
      <w:r w:rsidRPr="006E04D7">
        <w:rPr>
          <w:rFonts w:ascii="Times New Roman" w:hAnsi="Times New Roman" w:cs="Times New Roman"/>
        </w:rPr>
        <w:t xml:space="preserve">Table </w:t>
      </w:r>
      <w:r w:rsidR="00FB400E">
        <w:rPr>
          <w:rFonts w:ascii="Times New Roman" w:hAnsi="Times New Roman" w:cs="Times New Roman"/>
        </w:rPr>
        <w:fldChar w:fldCharType="begin"/>
      </w:r>
      <w:r w:rsidR="00FB400E">
        <w:rPr>
          <w:rFonts w:ascii="Times New Roman" w:hAnsi="Times New Roman" w:cs="Times New Roman"/>
        </w:rPr>
        <w:instrText xml:space="preserve"> SEQ Table \* ARABIC </w:instrText>
      </w:r>
      <w:r w:rsidR="00FB400E">
        <w:rPr>
          <w:rFonts w:ascii="Times New Roman" w:hAnsi="Times New Roman" w:cs="Times New Roman"/>
        </w:rPr>
        <w:fldChar w:fldCharType="separate"/>
      </w:r>
      <w:r w:rsidR="00563C86">
        <w:rPr>
          <w:rFonts w:ascii="Times New Roman" w:hAnsi="Times New Roman" w:cs="Times New Roman"/>
          <w:noProof/>
        </w:rPr>
        <w:t>6</w:t>
      </w:r>
      <w:r w:rsidR="00FB400E">
        <w:rPr>
          <w:rFonts w:ascii="Times New Roman" w:hAnsi="Times New Roman" w:cs="Times New Roman"/>
        </w:rPr>
        <w:fldChar w:fldCharType="end"/>
      </w:r>
      <w:r w:rsidRPr="006E04D7">
        <w:rPr>
          <w:rFonts w:ascii="Times New Roman" w:hAnsi="Times New Roman" w:cs="Times New Roman"/>
        </w:rPr>
        <w:t>:ATW_Catchdata</w:t>
      </w:r>
    </w:p>
    <w:p w14:paraId="4B499FEC" w14:textId="77777777" w:rsidR="008561FD" w:rsidRPr="006E04D7" w:rsidRDefault="008561FD" w:rsidP="00092CEA">
      <w:pPr>
        <w:spacing w:line="360" w:lineRule="auto"/>
        <w:jc w:val="both"/>
        <w:rPr>
          <w:rFonts w:ascii="Times New Roman" w:hAnsi="Times New Roman" w:cs="Times New Roman"/>
          <w:sz w:val="24"/>
          <w:szCs w:val="24"/>
        </w:rPr>
      </w:pPr>
    </w:p>
    <w:p w14:paraId="6288F2EE" w14:textId="77777777" w:rsidR="004D3DA3" w:rsidRPr="006E04D7" w:rsidRDefault="004D3DA3" w:rsidP="00092CEA">
      <w:pPr>
        <w:spacing w:line="360" w:lineRule="auto"/>
        <w:jc w:val="both"/>
        <w:rPr>
          <w:rFonts w:ascii="Times New Roman" w:hAnsi="Times New Roman" w:cs="Times New Roman"/>
          <w:sz w:val="24"/>
          <w:szCs w:val="24"/>
        </w:rPr>
      </w:pPr>
    </w:p>
    <w:sectPr w:rsidR="004D3DA3" w:rsidRPr="006E04D7">
      <w:headerReference w:type="default" r:id="rId27"/>
      <w:footerReference w:type="defaul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1-05-23T11:23:00Z" w:initials="F">
    <w:p w14:paraId="1BD558B5" w14:textId="59CEFD27" w:rsidR="00C52DE0" w:rsidRDefault="00C52DE0">
      <w:pPr>
        <w:pStyle w:val="CommentText"/>
      </w:pPr>
      <w:r>
        <w:rPr>
          <w:rStyle w:val="CommentReference"/>
        </w:rPr>
        <w:annotationRef/>
      </w:r>
      <w:r>
        <w:t xml:space="preserve">Not in the figure. </w:t>
      </w:r>
    </w:p>
  </w:comment>
  <w:comment w:id="1" w:author="user" w:date="2021-05-23T11:24:00Z" w:initials="F">
    <w:p w14:paraId="74D2A62B" w14:textId="2511F768" w:rsidR="00C52DE0" w:rsidRDefault="00C52DE0">
      <w:pPr>
        <w:pStyle w:val="CommentText"/>
      </w:pPr>
      <w:r>
        <w:rPr>
          <w:rStyle w:val="CommentReference"/>
        </w:rPr>
        <w:annotationRef/>
      </w:r>
      <w:r>
        <w:t xml:space="preserve">ICCAT? to be </w:t>
      </w:r>
      <w:proofErr w:type="gramStart"/>
      <w:r>
        <w:t>removed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558B5" w15:done="0"/>
  <w15:commentEx w15:paraId="74D2A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4B9AB" w16cex:dateUtc="2021-05-23T15:23:00Z"/>
  <w16cex:commentExtensible w16cex:durableId="2454B9D1" w16cex:dateUtc="2021-05-23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558B5" w16cid:durableId="2454B9AB"/>
  <w16cid:commentId w16cid:paraId="74D2A62B" w16cid:durableId="2454B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ECEA" w14:textId="77777777" w:rsidR="00743C46" w:rsidRDefault="00743C46" w:rsidP="00E01E4F">
      <w:pPr>
        <w:spacing w:after="0" w:line="240" w:lineRule="auto"/>
      </w:pPr>
      <w:r>
        <w:separator/>
      </w:r>
    </w:p>
  </w:endnote>
  <w:endnote w:type="continuationSeparator" w:id="0">
    <w:p w14:paraId="20B9BA59" w14:textId="77777777" w:rsidR="00743C46" w:rsidRDefault="00743C46" w:rsidP="00E0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4420"/>
      <w:docPartObj>
        <w:docPartGallery w:val="Page Numbers (Bottom of Page)"/>
        <w:docPartUnique/>
      </w:docPartObj>
    </w:sdtPr>
    <w:sdtEndPr>
      <w:rPr>
        <w:noProof/>
      </w:rPr>
    </w:sdtEndPr>
    <w:sdtContent>
      <w:p w14:paraId="28C7EB8D" w14:textId="77777777" w:rsidR="009D503E" w:rsidRDefault="009D503E">
        <w:pPr>
          <w:pStyle w:val="Footer"/>
          <w:jc w:val="center"/>
        </w:pPr>
        <w:r>
          <w:fldChar w:fldCharType="begin"/>
        </w:r>
        <w:r>
          <w:instrText xml:space="preserve"> PAGE   \* MERGEFORMAT </w:instrText>
        </w:r>
        <w:r>
          <w:fldChar w:fldCharType="separate"/>
        </w:r>
        <w:r w:rsidR="00F53D94">
          <w:rPr>
            <w:noProof/>
          </w:rPr>
          <w:t>21</w:t>
        </w:r>
        <w:r>
          <w:rPr>
            <w:noProof/>
          </w:rPr>
          <w:fldChar w:fldCharType="end"/>
        </w:r>
      </w:p>
    </w:sdtContent>
  </w:sdt>
  <w:p w14:paraId="18A43D4B" w14:textId="77777777" w:rsidR="009D503E" w:rsidRDefault="009D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7F10" w14:textId="77777777" w:rsidR="00743C46" w:rsidRDefault="00743C46" w:rsidP="00E01E4F">
      <w:pPr>
        <w:spacing w:after="0" w:line="240" w:lineRule="auto"/>
      </w:pPr>
      <w:r>
        <w:separator/>
      </w:r>
    </w:p>
  </w:footnote>
  <w:footnote w:type="continuationSeparator" w:id="0">
    <w:p w14:paraId="333D67E2" w14:textId="77777777" w:rsidR="00743C46" w:rsidRDefault="00743C46" w:rsidP="00E0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C441" w14:textId="77777777" w:rsidR="00D43ACE" w:rsidRDefault="00D43ACE">
    <w:pPr>
      <w:pStyle w:val="Header"/>
    </w:pPr>
    <w:r>
      <w:rPr>
        <w:noProof/>
        <w:lang w:eastAsia="en-GB"/>
      </w:rPr>
      <w:drawing>
        <wp:inline distT="0" distB="0" distL="0" distR="0" wp14:anchorId="40773020" wp14:editId="377E17F0">
          <wp:extent cx="1541780" cy="775970"/>
          <wp:effectExtent l="0" t="0" r="127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775970"/>
                  </a:xfrm>
                  <a:prstGeom prst="rect">
                    <a:avLst/>
                  </a:prstGeom>
                  <a:noFill/>
                  <a:ln>
                    <a:noFill/>
                  </a:ln>
                </pic:spPr>
              </pic:pic>
            </a:graphicData>
          </a:graphic>
        </wp:inline>
      </w:drawing>
    </w:r>
  </w:p>
  <w:p w14:paraId="57D3B100" w14:textId="77777777" w:rsidR="00D43ACE" w:rsidRDefault="00D43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D3178"/>
    <w:multiLevelType w:val="multilevel"/>
    <w:tmpl w:val="B4EC7AAC"/>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720" w:hanging="360"/>
      </w:pPr>
      <w:rPr>
        <w:rFonts w:hint="default"/>
      </w:rPr>
    </w:lvl>
    <w:lvl w:ilvl="2">
      <w:start w:val="1"/>
      <w:numFmt w:val="decimal"/>
      <w:lvlRestart w:val="1"/>
      <w:pStyle w:val="Heading3"/>
      <w:suff w:val="space"/>
      <w:lvlText w:val="%1.%2.%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9C7495D"/>
    <w:multiLevelType w:val="hybridMultilevel"/>
    <w:tmpl w:val="90AA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pStyle w:val="Heading1"/>
        <w:suff w:val="space"/>
        <w:lvlText w:val="%1"/>
        <w:lvlJc w:val="left"/>
        <w:pPr>
          <w:ind w:left="360" w:hanging="360"/>
        </w:pPr>
        <w:rPr>
          <w:rFonts w:hint="default"/>
        </w:rPr>
      </w:lvl>
    </w:lvlOverride>
    <w:lvlOverride w:ilvl="1">
      <w:lvl w:ilvl="1">
        <w:start w:val="1"/>
        <w:numFmt w:val="decimal"/>
        <w:pStyle w:val="Heading2"/>
        <w:suff w:val="space"/>
        <w:lvlText w:val="1.%2"/>
        <w:lvlJc w:val="left"/>
        <w:pPr>
          <w:ind w:left="720" w:hanging="360"/>
        </w:pPr>
        <w:rPr>
          <w:rFonts w:hint="default"/>
        </w:rPr>
      </w:lvl>
    </w:lvlOverride>
    <w:lvlOverride w:ilvl="2">
      <w:lvl w:ilvl="2">
        <w:start w:val="1"/>
        <w:numFmt w:val="decimal"/>
        <w:lvlRestart w:val="1"/>
        <w:pStyle w:val="Heading3"/>
        <w:suff w:val="space"/>
        <w:lvlText w:val="1.1.%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ffdwdt97adpw0eeedr5t2wbdwf5etardpas&quot;&gt;My EndNote Library_1&lt;record-ids&gt;&lt;item&gt;262&lt;/item&gt;&lt;item&gt;263&lt;/item&gt;&lt;item&gt;264&lt;/item&gt;&lt;item&gt;265&lt;/item&gt;&lt;item&gt;266&lt;/item&gt;&lt;item&gt;267&lt;/item&gt;&lt;item&gt;268&lt;/item&gt;&lt;item&gt;269&lt;/item&gt;&lt;item&gt;270&lt;/item&gt;&lt;item&gt;271&lt;/item&gt;&lt;item&gt;273&lt;/item&gt;&lt;item&gt;276&lt;/item&gt;&lt;item&gt;284&lt;/item&gt;&lt;item&gt;285&lt;/item&gt;&lt;item&gt;287&lt;/item&gt;&lt;item&gt;288&lt;/item&gt;&lt;item&gt;289&lt;/item&gt;&lt;item&gt;290&lt;/item&gt;&lt;item&gt;291&lt;/item&gt;&lt;item&gt;292&lt;/item&gt;&lt;item&gt;293&lt;/item&gt;&lt;item&gt;294&lt;/item&gt;&lt;item&gt;295&lt;/item&gt;&lt;item&gt;296&lt;/item&gt;&lt;item&gt;297&lt;/item&gt;&lt;/record-ids&gt;&lt;/item&gt;&lt;/Libraries&gt;"/>
  </w:docVars>
  <w:rsids>
    <w:rsidRoot w:val="009B4357"/>
    <w:rsid w:val="0003770D"/>
    <w:rsid w:val="00053B8B"/>
    <w:rsid w:val="0007193A"/>
    <w:rsid w:val="0007209F"/>
    <w:rsid w:val="000825F8"/>
    <w:rsid w:val="00082A3B"/>
    <w:rsid w:val="00092CEA"/>
    <w:rsid w:val="0009676B"/>
    <w:rsid w:val="00097E53"/>
    <w:rsid w:val="000C13A9"/>
    <w:rsid w:val="000E5F8D"/>
    <w:rsid w:val="00101DE5"/>
    <w:rsid w:val="00135121"/>
    <w:rsid w:val="00172F8C"/>
    <w:rsid w:val="00174BF0"/>
    <w:rsid w:val="00192E4F"/>
    <w:rsid w:val="001A492E"/>
    <w:rsid w:val="001B3F3E"/>
    <w:rsid w:val="001C6F43"/>
    <w:rsid w:val="001D6981"/>
    <w:rsid w:val="00202342"/>
    <w:rsid w:val="00202AF7"/>
    <w:rsid w:val="00204779"/>
    <w:rsid w:val="00210C40"/>
    <w:rsid w:val="00236A39"/>
    <w:rsid w:val="00236C83"/>
    <w:rsid w:val="002514F2"/>
    <w:rsid w:val="00255315"/>
    <w:rsid w:val="00267023"/>
    <w:rsid w:val="0027539F"/>
    <w:rsid w:val="002C141C"/>
    <w:rsid w:val="002D1FB2"/>
    <w:rsid w:val="002D5B93"/>
    <w:rsid w:val="002D5D55"/>
    <w:rsid w:val="002E0C1A"/>
    <w:rsid w:val="002F05AA"/>
    <w:rsid w:val="00300C16"/>
    <w:rsid w:val="0031082D"/>
    <w:rsid w:val="00344F66"/>
    <w:rsid w:val="0034582E"/>
    <w:rsid w:val="003776CC"/>
    <w:rsid w:val="00397416"/>
    <w:rsid w:val="003A4E83"/>
    <w:rsid w:val="003A6C7B"/>
    <w:rsid w:val="003C173B"/>
    <w:rsid w:val="003D2ABF"/>
    <w:rsid w:val="003D4551"/>
    <w:rsid w:val="004074F8"/>
    <w:rsid w:val="00464ED2"/>
    <w:rsid w:val="00493C29"/>
    <w:rsid w:val="004A13CB"/>
    <w:rsid w:val="004A4FF7"/>
    <w:rsid w:val="004A7F9F"/>
    <w:rsid w:val="004D2FD2"/>
    <w:rsid w:val="004D3DA3"/>
    <w:rsid w:val="004F4CEF"/>
    <w:rsid w:val="00553A56"/>
    <w:rsid w:val="00563C86"/>
    <w:rsid w:val="005649AC"/>
    <w:rsid w:val="005667B1"/>
    <w:rsid w:val="00576190"/>
    <w:rsid w:val="005A3AAC"/>
    <w:rsid w:val="005A6E4D"/>
    <w:rsid w:val="005B5856"/>
    <w:rsid w:val="005D2934"/>
    <w:rsid w:val="005E12AF"/>
    <w:rsid w:val="0063031E"/>
    <w:rsid w:val="00634CA2"/>
    <w:rsid w:val="00667AEC"/>
    <w:rsid w:val="00677AB4"/>
    <w:rsid w:val="006956C0"/>
    <w:rsid w:val="006B0563"/>
    <w:rsid w:val="006C5F08"/>
    <w:rsid w:val="006D7B5F"/>
    <w:rsid w:val="006E04D7"/>
    <w:rsid w:val="0070713E"/>
    <w:rsid w:val="007414A8"/>
    <w:rsid w:val="00743C46"/>
    <w:rsid w:val="00796F9D"/>
    <w:rsid w:val="007A1451"/>
    <w:rsid w:val="007E6C97"/>
    <w:rsid w:val="00827362"/>
    <w:rsid w:val="008561FD"/>
    <w:rsid w:val="0085723A"/>
    <w:rsid w:val="00887BCB"/>
    <w:rsid w:val="00891942"/>
    <w:rsid w:val="008A46EF"/>
    <w:rsid w:val="008C2AB0"/>
    <w:rsid w:val="008D7A6A"/>
    <w:rsid w:val="008E1994"/>
    <w:rsid w:val="008E1C63"/>
    <w:rsid w:val="009362CA"/>
    <w:rsid w:val="00937AAE"/>
    <w:rsid w:val="0095273A"/>
    <w:rsid w:val="00956422"/>
    <w:rsid w:val="00956E37"/>
    <w:rsid w:val="00964FD2"/>
    <w:rsid w:val="00967872"/>
    <w:rsid w:val="00991A05"/>
    <w:rsid w:val="009B4357"/>
    <w:rsid w:val="009C62FE"/>
    <w:rsid w:val="009D503E"/>
    <w:rsid w:val="009E0552"/>
    <w:rsid w:val="009E2FA4"/>
    <w:rsid w:val="009E77D2"/>
    <w:rsid w:val="00A1577C"/>
    <w:rsid w:val="00A30019"/>
    <w:rsid w:val="00A33313"/>
    <w:rsid w:val="00A3522D"/>
    <w:rsid w:val="00A73A51"/>
    <w:rsid w:val="00A77708"/>
    <w:rsid w:val="00A80CAE"/>
    <w:rsid w:val="00AB6674"/>
    <w:rsid w:val="00AD7CC6"/>
    <w:rsid w:val="00AE0D76"/>
    <w:rsid w:val="00AE53D1"/>
    <w:rsid w:val="00B04BC9"/>
    <w:rsid w:val="00B477E8"/>
    <w:rsid w:val="00B6564F"/>
    <w:rsid w:val="00B7024E"/>
    <w:rsid w:val="00B76EB8"/>
    <w:rsid w:val="00B865D3"/>
    <w:rsid w:val="00B87ABF"/>
    <w:rsid w:val="00BD4A2D"/>
    <w:rsid w:val="00BE29F6"/>
    <w:rsid w:val="00BF2798"/>
    <w:rsid w:val="00C2666F"/>
    <w:rsid w:val="00C47B7B"/>
    <w:rsid w:val="00C52DE0"/>
    <w:rsid w:val="00C74CF7"/>
    <w:rsid w:val="00C762E5"/>
    <w:rsid w:val="00C96EF2"/>
    <w:rsid w:val="00CA7270"/>
    <w:rsid w:val="00CB2334"/>
    <w:rsid w:val="00CC2CBB"/>
    <w:rsid w:val="00CC5B32"/>
    <w:rsid w:val="00CD1C22"/>
    <w:rsid w:val="00CD31D3"/>
    <w:rsid w:val="00CE1B12"/>
    <w:rsid w:val="00CE6604"/>
    <w:rsid w:val="00CE7A7F"/>
    <w:rsid w:val="00CF04CD"/>
    <w:rsid w:val="00D075CF"/>
    <w:rsid w:val="00D1211F"/>
    <w:rsid w:val="00D2225D"/>
    <w:rsid w:val="00D27ED3"/>
    <w:rsid w:val="00D33682"/>
    <w:rsid w:val="00D35290"/>
    <w:rsid w:val="00D42D1B"/>
    <w:rsid w:val="00D43ACE"/>
    <w:rsid w:val="00D60E92"/>
    <w:rsid w:val="00D6484C"/>
    <w:rsid w:val="00D8438E"/>
    <w:rsid w:val="00D86E66"/>
    <w:rsid w:val="00D95D0F"/>
    <w:rsid w:val="00D96412"/>
    <w:rsid w:val="00DC5FA0"/>
    <w:rsid w:val="00DD4F13"/>
    <w:rsid w:val="00DE2E54"/>
    <w:rsid w:val="00DF6E6F"/>
    <w:rsid w:val="00E01E4F"/>
    <w:rsid w:val="00E0683B"/>
    <w:rsid w:val="00E216FF"/>
    <w:rsid w:val="00E347DA"/>
    <w:rsid w:val="00E558A5"/>
    <w:rsid w:val="00E70F3E"/>
    <w:rsid w:val="00E759F4"/>
    <w:rsid w:val="00E8000E"/>
    <w:rsid w:val="00E83A7E"/>
    <w:rsid w:val="00E875EB"/>
    <w:rsid w:val="00E9102B"/>
    <w:rsid w:val="00EA1AE3"/>
    <w:rsid w:val="00EA7C7D"/>
    <w:rsid w:val="00ED45AA"/>
    <w:rsid w:val="00EE44E1"/>
    <w:rsid w:val="00EE7250"/>
    <w:rsid w:val="00EE7B5A"/>
    <w:rsid w:val="00F03017"/>
    <w:rsid w:val="00F05060"/>
    <w:rsid w:val="00F102F0"/>
    <w:rsid w:val="00F109BD"/>
    <w:rsid w:val="00F243B8"/>
    <w:rsid w:val="00F53CD6"/>
    <w:rsid w:val="00F53D94"/>
    <w:rsid w:val="00F62033"/>
    <w:rsid w:val="00F64549"/>
    <w:rsid w:val="00F65F53"/>
    <w:rsid w:val="00F7140D"/>
    <w:rsid w:val="00F7462C"/>
    <w:rsid w:val="00F747C2"/>
    <w:rsid w:val="00FA10BC"/>
    <w:rsid w:val="00FA1FE0"/>
    <w:rsid w:val="00FB400E"/>
    <w:rsid w:val="00FC6A61"/>
    <w:rsid w:val="00FF1A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CA725"/>
  <w15:chartTrackingRefBased/>
  <w15:docId w15:val="{A5C84EBF-FAB9-40FC-8827-398C789E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EB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6EB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76EB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0BC"/>
    <w:rPr>
      <w:color w:val="0563C1" w:themeColor="hyperlink"/>
      <w:u w:val="single"/>
    </w:rPr>
  </w:style>
  <w:style w:type="character" w:customStyle="1" w:styleId="Heading1Char">
    <w:name w:val="Heading 1 Char"/>
    <w:basedOn w:val="DefaultParagraphFont"/>
    <w:link w:val="Heading1"/>
    <w:uiPriority w:val="9"/>
    <w:rsid w:val="00B76E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6EB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76EB8"/>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8561FD"/>
    <w:pPr>
      <w:spacing w:after="200" w:line="240" w:lineRule="auto"/>
    </w:pPr>
    <w:rPr>
      <w:i/>
      <w:iCs/>
      <w:color w:val="44546A" w:themeColor="text2"/>
      <w:sz w:val="18"/>
      <w:szCs w:val="18"/>
    </w:rPr>
  </w:style>
  <w:style w:type="table" w:styleId="TableGrid">
    <w:name w:val="Table Grid"/>
    <w:basedOn w:val="TableNormal"/>
    <w:uiPriority w:val="39"/>
    <w:rsid w:val="004D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572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23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A1451"/>
    <w:pPr>
      <w:ind w:left="720"/>
      <w:contextualSpacing/>
    </w:pPr>
  </w:style>
  <w:style w:type="character" w:styleId="PlaceholderText">
    <w:name w:val="Placeholder Text"/>
    <w:basedOn w:val="DefaultParagraphFont"/>
    <w:uiPriority w:val="99"/>
    <w:semiHidden/>
    <w:rsid w:val="00DF6E6F"/>
    <w:rPr>
      <w:color w:val="808080"/>
    </w:rPr>
  </w:style>
  <w:style w:type="paragraph" w:styleId="Header">
    <w:name w:val="header"/>
    <w:basedOn w:val="Normal"/>
    <w:link w:val="HeaderChar"/>
    <w:uiPriority w:val="99"/>
    <w:unhideWhenUsed/>
    <w:rsid w:val="00E01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E4F"/>
  </w:style>
  <w:style w:type="paragraph" w:styleId="Footer">
    <w:name w:val="footer"/>
    <w:basedOn w:val="Normal"/>
    <w:link w:val="FooterChar"/>
    <w:uiPriority w:val="99"/>
    <w:unhideWhenUsed/>
    <w:rsid w:val="00E01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E4F"/>
  </w:style>
  <w:style w:type="character" w:styleId="CommentReference">
    <w:name w:val="annotation reference"/>
    <w:basedOn w:val="DefaultParagraphFont"/>
    <w:uiPriority w:val="99"/>
    <w:semiHidden/>
    <w:unhideWhenUsed/>
    <w:rsid w:val="00C52DE0"/>
    <w:rPr>
      <w:sz w:val="16"/>
      <w:szCs w:val="16"/>
    </w:rPr>
  </w:style>
  <w:style w:type="paragraph" w:styleId="CommentText">
    <w:name w:val="annotation text"/>
    <w:basedOn w:val="Normal"/>
    <w:link w:val="CommentTextChar"/>
    <w:uiPriority w:val="99"/>
    <w:semiHidden/>
    <w:unhideWhenUsed/>
    <w:rsid w:val="00C52DE0"/>
    <w:pPr>
      <w:spacing w:line="240" w:lineRule="auto"/>
    </w:pPr>
    <w:rPr>
      <w:sz w:val="20"/>
      <w:szCs w:val="20"/>
    </w:rPr>
  </w:style>
  <w:style w:type="character" w:customStyle="1" w:styleId="CommentTextChar">
    <w:name w:val="Comment Text Char"/>
    <w:basedOn w:val="DefaultParagraphFont"/>
    <w:link w:val="CommentText"/>
    <w:uiPriority w:val="99"/>
    <w:semiHidden/>
    <w:rsid w:val="00C52DE0"/>
    <w:rPr>
      <w:sz w:val="20"/>
      <w:szCs w:val="20"/>
    </w:rPr>
  </w:style>
  <w:style w:type="paragraph" w:styleId="CommentSubject">
    <w:name w:val="annotation subject"/>
    <w:basedOn w:val="CommentText"/>
    <w:next w:val="CommentText"/>
    <w:link w:val="CommentSubjectChar"/>
    <w:uiPriority w:val="99"/>
    <w:semiHidden/>
    <w:unhideWhenUsed/>
    <w:rsid w:val="00C52DE0"/>
    <w:rPr>
      <w:b/>
      <w:bCs/>
    </w:rPr>
  </w:style>
  <w:style w:type="character" w:customStyle="1" w:styleId="CommentSubjectChar">
    <w:name w:val="Comment Subject Char"/>
    <w:basedOn w:val="CommentTextChar"/>
    <w:link w:val="CommentSubject"/>
    <w:uiPriority w:val="99"/>
    <w:semiHidden/>
    <w:rsid w:val="00C52D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8623">
      <w:bodyDiv w:val="1"/>
      <w:marLeft w:val="0"/>
      <w:marRight w:val="0"/>
      <w:marTop w:val="0"/>
      <w:marBottom w:val="0"/>
      <w:divBdr>
        <w:top w:val="none" w:sz="0" w:space="0" w:color="auto"/>
        <w:left w:val="none" w:sz="0" w:space="0" w:color="auto"/>
        <w:bottom w:val="none" w:sz="0" w:space="0" w:color="auto"/>
        <w:right w:val="none" w:sz="0" w:space="0" w:color="auto"/>
      </w:divBdr>
    </w:div>
    <w:div w:id="301691023">
      <w:bodyDiv w:val="1"/>
      <w:marLeft w:val="0"/>
      <w:marRight w:val="0"/>
      <w:marTop w:val="0"/>
      <w:marBottom w:val="0"/>
      <w:divBdr>
        <w:top w:val="none" w:sz="0" w:space="0" w:color="auto"/>
        <w:left w:val="none" w:sz="0" w:space="0" w:color="auto"/>
        <w:bottom w:val="none" w:sz="0" w:space="0" w:color="auto"/>
        <w:right w:val="none" w:sz="0" w:space="0" w:color="auto"/>
      </w:divBdr>
    </w:div>
    <w:div w:id="339744396">
      <w:bodyDiv w:val="1"/>
      <w:marLeft w:val="0"/>
      <w:marRight w:val="0"/>
      <w:marTop w:val="0"/>
      <w:marBottom w:val="0"/>
      <w:divBdr>
        <w:top w:val="none" w:sz="0" w:space="0" w:color="auto"/>
        <w:left w:val="none" w:sz="0" w:space="0" w:color="auto"/>
        <w:bottom w:val="none" w:sz="0" w:space="0" w:color="auto"/>
        <w:right w:val="none" w:sz="0" w:space="0" w:color="auto"/>
      </w:divBdr>
    </w:div>
    <w:div w:id="576014741">
      <w:bodyDiv w:val="1"/>
      <w:marLeft w:val="0"/>
      <w:marRight w:val="0"/>
      <w:marTop w:val="0"/>
      <w:marBottom w:val="0"/>
      <w:divBdr>
        <w:top w:val="none" w:sz="0" w:space="0" w:color="auto"/>
        <w:left w:val="none" w:sz="0" w:space="0" w:color="auto"/>
        <w:bottom w:val="none" w:sz="0" w:space="0" w:color="auto"/>
        <w:right w:val="none" w:sz="0" w:space="0" w:color="auto"/>
      </w:divBdr>
    </w:div>
    <w:div w:id="919414081">
      <w:bodyDiv w:val="1"/>
      <w:marLeft w:val="0"/>
      <w:marRight w:val="0"/>
      <w:marTop w:val="0"/>
      <w:marBottom w:val="0"/>
      <w:divBdr>
        <w:top w:val="none" w:sz="0" w:space="0" w:color="auto"/>
        <w:left w:val="none" w:sz="0" w:space="0" w:color="auto"/>
        <w:bottom w:val="none" w:sz="0" w:space="0" w:color="auto"/>
        <w:right w:val="none" w:sz="0" w:space="0" w:color="auto"/>
      </w:divBdr>
    </w:div>
    <w:div w:id="2044666746">
      <w:bodyDiv w:val="1"/>
      <w:marLeft w:val="0"/>
      <w:marRight w:val="0"/>
      <w:marTop w:val="0"/>
      <w:marBottom w:val="0"/>
      <w:divBdr>
        <w:top w:val="none" w:sz="0" w:space="0" w:color="auto"/>
        <w:left w:val="none" w:sz="0" w:space="0" w:color="auto"/>
        <w:bottom w:val="none" w:sz="0" w:space="0" w:color="auto"/>
        <w:right w:val="none" w:sz="0" w:space="0" w:color="auto"/>
      </w:divBdr>
    </w:div>
    <w:div w:id="211388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chart" Target="charts/chart7.xml"/><Relationship Id="rId26" Type="http://schemas.openxmlformats.org/officeDocument/2006/relationships/hyperlink" Target="http://www.iccat.int/Documents/Recs/compendiopdf-e/2017-06-e.pdf+&amp;cd=2&amp;hl=en&amp;ct=clnk&amp;gl=uk" TargetMode="Externa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6.xml"/><Relationship Id="rId25" Type="http://schemas.openxmlformats.org/officeDocument/2006/relationships/hyperlink" Target="http://www.iccat.int/Documents/Recs/compendiopdf-e/2018-02-e.pdf+&amp;cd=1&amp;hl=en&amp;ct=clnk&amp;gl=uk"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iccat.int/en/accesingdb.html"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3.emf"/><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microsoft.com/office/2011/relationships/commentsExtended" Target="commentsExtended.xml"/><Relationship Id="rId22" Type="http://schemas.openxmlformats.org/officeDocument/2006/relationships/image" Target="media/image2.emf"/><Relationship Id="rId27" Type="http://schemas.openxmlformats.org/officeDocument/2006/relationships/header" Target="header1.xml"/><Relationship Id="rId30" Type="http://schemas.microsoft.com/office/2011/relationships/people" Target="people.xml"/><Relationship Id="rId8"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SU2\U3\AkbariN\Desktop\Pandora%20Models\blufin%20Paper\NPV%20model%20-%20WP3.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U2\U3\AkbariN\Desktop\Pandora%20Models\blufin%20Paper\NPV%20model%20-%20WP3.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U2\U3\AkbariN\Desktop\Pandora%20Models\blufin%20Paper\NPV%20model%20-%20WP3.xls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U2\U3\AkbariN\Desktop\Pandora%20Models\blufin%20Paper\NPV%20model%20-%20WP3.xls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U2\U3\AkbariN\Desktop\Pandora%20Models\blufin%20Paper\NPV%20model%20-%20WP3.xlsm"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U2\U3\AkbariN\Desktop\Pandora%20Models\blufin%20Paper\NPV%20model%20-%20WP3.xlsm"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SU2\U3\AkbariN\Desktop\Pandora%20Models\blufin%20Paper\NPV%20model%20-%20WP3.xlsm"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SU2\U3\AkbariN\Desktop\Pandora%20Models\blufin%20Paper\NPV%20model%20-%20WP3.xlsm"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SU2\U3\AkbariN\Desktop\Pandora%20Models\blufin%20Paper\NPV%20model%20-%20WP3.xlsm"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r>
              <a:rPr lang="en-GB" sz="1200"/>
              <a:t>Catch per ger type - Mediterranean Sea</a:t>
            </a:r>
          </a:p>
          <a:p>
            <a:pPr>
              <a:defRPr sz="1200"/>
            </a:pPr>
            <a:r>
              <a:rPr lang="en-GB" sz="1200"/>
              <a:t>1995-2017</a:t>
            </a:r>
          </a:p>
        </c:rich>
      </c:tx>
      <c:overlay val="0"/>
      <c:spPr>
        <a:noFill/>
        <a:ln>
          <a:noFill/>
        </a:ln>
        <a:effectLst/>
      </c:spPr>
      <c:txPr>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1"/>
          <c:order val="0"/>
          <c:tx>
            <c:strRef>
              <c:f>'ICCAT_Rawdata_Med_1995-2017'!$T$1</c:f>
              <c:strCache>
                <c:ptCount val="1"/>
                <c:pt idx="0">
                  <c:v>bb</c:v>
                </c:pt>
              </c:strCache>
            </c:strRef>
          </c:tx>
          <c:spPr>
            <a:ln w="38100" cap="rnd">
              <a:solidFill>
                <a:schemeClr val="accent2"/>
              </a:solidFill>
              <a:round/>
            </a:ln>
            <a:effectLst/>
          </c:spPr>
          <c:marker>
            <c:symbol val="none"/>
          </c:marker>
          <c:cat>
            <c:numRef>
              <c:f>'ICCAT_Rawdata_Med_1995-2017'!$S$2:$S$24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'ICCAT_Rawdata_Med_1995-2017'!$T$2:$T$24</c:f>
              <c:numCache>
                <c:formatCode>_(* #,##0.00_);_(* \(#,##0.00\);_(* "-"??_);_(@_)</c:formatCode>
                <c:ptCount val="23"/>
                <c:pt idx="0">
                  <c:v>206</c:v>
                </c:pt>
                <c:pt idx="1">
                  <c:v>5</c:v>
                </c:pt>
                <c:pt idx="2">
                  <c:v>4</c:v>
                </c:pt>
                <c:pt idx="3">
                  <c:v>11</c:v>
                </c:pt>
                <c:pt idx="4">
                  <c:v>4</c:v>
                </c:pt>
                <c:pt idx="5">
                  <c:v>37.802</c:v>
                </c:pt>
                <c:pt idx="6">
                  <c:v>28.100000000000005</c:v>
                </c:pt>
                <c:pt idx="7">
                  <c:v>0.9</c:v>
                </c:pt>
                <c:pt idx="8">
                  <c:v>8.6999999999999993</c:v>
                </c:pt>
                <c:pt idx="9">
                  <c:v>16.89</c:v>
                </c:pt>
                <c:pt idx="10">
                  <c:v>4.74</c:v>
                </c:pt>
                <c:pt idx="14">
                  <c:v>38.14</c:v>
                </c:pt>
                <c:pt idx="15">
                  <c:v>1</c:v>
                </c:pt>
                <c:pt idx="17">
                  <c:v>1.86232</c:v>
                </c:pt>
                <c:pt idx="18">
                  <c:v>2.0038800000000001</c:v>
                </c:pt>
                <c:pt idx="19">
                  <c:v>9</c:v>
                </c:pt>
                <c:pt idx="20">
                  <c:v>25.366</c:v>
                </c:pt>
                <c:pt idx="22">
                  <c:v>50.477199999999996</c:v>
                </c:pt>
              </c:numCache>
            </c:numRef>
          </c:val>
          <c:smooth val="0"/>
          <c:extLst>
            <c:ext xmlns:c16="http://schemas.microsoft.com/office/drawing/2014/chart" uri="{C3380CC4-5D6E-409C-BE32-E72D297353CC}">
              <c16:uniqueId val="{00000000-7C5C-4F0E-97CA-4982A160E90B}"/>
            </c:ext>
          </c:extLst>
        </c:ser>
        <c:ser>
          <c:idx val="2"/>
          <c:order val="1"/>
          <c:tx>
            <c:strRef>
              <c:f>'ICCAT_Rawdata_Med_1995-2017'!$U$1</c:f>
              <c:strCache>
                <c:ptCount val="1"/>
                <c:pt idx="0">
                  <c:v>HL</c:v>
                </c:pt>
              </c:strCache>
            </c:strRef>
          </c:tx>
          <c:spPr>
            <a:ln w="38100" cap="rnd">
              <a:solidFill>
                <a:schemeClr val="accent3"/>
              </a:solidFill>
              <a:round/>
            </a:ln>
            <a:effectLst/>
          </c:spPr>
          <c:marker>
            <c:symbol val="none"/>
          </c:marker>
          <c:cat>
            <c:numRef>
              <c:f>'ICCAT_Rawdata_Med_1995-2017'!$S$2:$S$24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'ICCAT_Rawdata_Med_1995-2017'!$U$2:$U$24</c:f>
              <c:numCache>
                <c:formatCode>_(* #,##0.00_);_(* \(#,##0.00\);_(* "-"??_);_(@_)</c:formatCode>
                <c:ptCount val="23"/>
                <c:pt idx="0">
                  <c:v>2745.7510000000002</c:v>
                </c:pt>
                <c:pt idx="1">
                  <c:v>1828</c:v>
                </c:pt>
                <c:pt idx="2">
                  <c:v>2071</c:v>
                </c:pt>
                <c:pt idx="3">
                  <c:v>1061.00001</c:v>
                </c:pt>
                <c:pt idx="4">
                  <c:v>1284.3858300000002</c:v>
                </c:pt>
                <c:pt idx="5">
                  <c:v>1541.76504</c:v>
                </c:pt>
                <c:pt idx="6">
                  <c:v>890.41406000000029</c:v>
                </c:pt>
                <c:pt idx="7">
                  <c:v>1157.9041999999999</c:v>
                </c:pt>
                <c:pt idx="8">
                  <c:v>1110.98866</c:v>
                </c:pt>
                <c:pt idx="9">
                  <c:v>1039.8373000000001</c:v>
                </c:pt>
                <c:pt idx="10">
                  <c:v>335.66981999999996</c:v>
                </c:pt>
                <c:pt idx="11">
                  <c:v>337.08994999999999</c:v>
                </c:pt>
                <c:pt idx="12">
                  <c:v>74.502999999999986</c:v>
                </c:pt>
                <c:pt idx="13">
                  <c:v>132.47301999999999</c:v>
                </c:pt>
                <c:pt idx="14">
                  <c:v>101.42823000000001</c:v>
                </c:pt>
                <c:pt idx="15">
                  <c:v>260.04079999999999</c:v>
                </c:pt>
                <c:pt idx="16">
                  <c:v>276.37543000000005</c:v>
                </c:pt>
                <c:pt idx="17">
                  <c:v>194.22068000000002</c:v>
                </c:pt>
                <c:pt idx="18">
                  <c:v>230.15340000000003</c:v>
                </c:pt>
                <c:pt idx="19">
                  <c:v>278.07069999999999</c:v>
                </c:pt>
                <c:pt idx="20">
                  <c:v>347.84793999999994</c:v>
                </c:pt>
                <c:pt idx="21">
                  <c:v>281.57065</c:v>
                </c:pt>
                <c:pt idx="22">
                  <c:v>596.60238000000004</c:v>
                </c:pt>
              </c:numCache>
            </c:numRef>
          </c:val>
          <c:smooth val="0"/>
          <c:extLst>
            <c:ext xmlns:c16="http://schemas.microsoft.com/office/drawing/2014/chart" uri="{C3380CC4-5D6E-409C-BE32-E72D297353CC}">
              <c16:uniqueId val="{00000001-7C5C-4F0E-97CA-4982A160E90B}"/>
            </c:ext>
          </c:extLst>
        </c:ser>
        <c:ser>
          <c:idx val="3"/>
          <c:order val="2"/>
          <c:tx>
            <c:strRef>
              <c:f>'ICCAT_Rawdata_Med_1995-2017'!$V$1</c:f>
              <c:strCache>
                <c:ptCount val="1"/>
                <c:pt idx="0">
                  <c:v>LL</c:v>
                </c:pt>
              </c:strCache>
            </c:strRef>
          </c:tx>
          <c:spPr>
            <a:ln w="38100" cap="rnd">
              <a:solidFill>
                <a:schemeClr val="accent4"/>
              </a:solidFill>
              <a:round/>
            </a:ln>
            <a:effectLst/>
          </c:spPr>
          <c:marker>
            <c:symbol val="none"/>
          </c:marker>
          <c:cat>
            <c:numRef>
              <c:f>'ICCAT_Rawdata_Med_1995-2017'!$S$2:$S$24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'ICCAT_Rawdata_Med_1995-2017'!$V$2:$V$24</c:f>
              <c:numCache>
                <c:formatCode>_(* #,##0.00_);_(* \(#,##0.00\);_(* "-"??_);_(@_)</c:formatCode>
                <c:ptCount val="23"/>
                <c:pt idx="0">
                  <c:v>1791.9751500000002</c:v>
                </c:pt>
                <c:pt idx="1">
                  <c:v>9855.5839899999992</c:v>
                </c:pt>
                <c:pt idx="2">
                  <c:v>7313.2240299999994</c:v>
                </c:pt>
                <c:pt idx="3">
                  <c:v>4117.07197</c:v>
                </c:pt>
                <c:pt idx="4">
                  <c:v>3338.2650000000003</c:v>
                </c:pt>
                <c:pt idx="5">
                  <c:v>3423.9229999999993</c:v>
                </c:pt>
                <c:pt idx="6">
                  <c:v>4144.0900100000008</c:v>
                </c:pt>
                <c:pt idx="7">
                  <c:v>3234.105</c:v>
                </c:pt>
                <c:pt idx="8">
                  <c:v>3483.80332</c:v>
                </c:pt>
                <c:pt idx="9">
                  <c:v>3035.6150000000002</c:v>
                </c:pt>
                <c:pt idx="10">
                  <c:v>3426.8150100000016</c:v>
                </c:pt>
                <c:pt idx="11">
                  <c:v>3407.5795100000014</c:v>
                </c:pt>
                <c:pt idx="12">
                  <c:v>3269.1400000000003</c:v>
                </c:pt>
                <c:pt idx="13">
                  <c:v>2372.4315099999994</c:v>
                </c:pt>
                <c:pt idx="14">
                  <c:v>1344.0362299999999</c:v>
                </c:pt>
                <c:pt idx="15">
                  <c:v>1242.1029399999998</c:v>
                </c:pt>
                <c:pt idx="16">
                  <c:v>961.81902000000014</c:v>
                </c:pt>
                <c:pt idx="17">
                  <c:v>586.53274999999985</c:v>
                </c:pt>
                <c:pt idx="18">
                  <c:v>604.92084</c:v>
                </c:pt>
                <c:pt idx="19">
                  <c:v>588.34164999999996</c:v>
                </c:pt>
                <c:pt idx="20">
                  <c:v>784.33573000000001</c:v>
                </c:pt>
                <c:pt idx="21">
                  <c:v>1523.16209</c:v>
                </c:pt>
                <c:pt idx="22">
                  <c:v>1183.7804100000001</c:v>
                </c:pt>
              </c:numCache>
            </c:numRef>
          </c:val>
          <c:smooth val="0"/>
          <c:extLst>
            <c:ext xmlns:c16="http://schemas.microsoft.com/office/drawing/2014/chart" uri="{C3380CC4-5D6E-409C-BE32-E72D297353CC}">
              <c16:uniqueId val="{00000002-7C5C-4F0E-97CA-4982A160E90B}"/>
            </c:ext>
          </c:extLst>
        </c:ser>
        <c:ser>
          <c:idx val="4"/>
          <c:order val="3"/>
          <c:tx>
            <c:strRef>
              <c:f>'ICCAT_Rawdata_Med_1995-2017'!$W$1</c:f>
              <c:strCache>
                <c:ptCount val="1"/>
                <c:pt idx="0">
                  <c:v>other</c:v>
                </c:pt>
              </c:strCache>
            </c:strRef>
          </c:tx>
          <c:spPr>
            <a:ln w="38100" cap="rnd">
              <a:solidFill>
                <a:schemeClr val="accent5"/>
              </a:solidFill>
              <a:round/>
            </a:ln>
            <a:effectLst/>
          </c:spPr>
          <c:marker>
            <c:symbol val="none"/>
          </c:marker>
          <c:cat>
            <c:numRef>
              <c:f>'ICCAT_Rawdata_Med_1995-2017'!$S$2:$S$24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'ICCAT_Rawdata_Med_1995-2017'!$W$2:$W$24</c:f>
              <c:numCache>
                <c:formatCode>_(* #,##0.00_);_(* \(#,##0.00\);_(* "-"??_);_(@_)</c:formatCode>
                <c:ptCount val="23"/>
                <c:pt idx="0">
                  <c:v>504.09899999999999</c:v>
                </c:pt>
                <c:pt idx="1">
                  <c:v>338.42</c:v>
                </c:pt>
                <c:pt idx="2">
                  <c:v>275</c:v>
                </c:pt>
                <c:pt idx="3">
                  <c:v>273</c:v>
                </c:pt>
                <c:pt idx="4">
                  <c:v>218</c:v>
                </c:pt>
                <c:pt idx="5">
                  <c:v>725.94600999999977</c:v>
                </c:pt>
                <c:pt idx="6">
                  <c:v>348.68799999999999</c:v>
                </c:pt>
                <c:pt idx="7">
                  <c:v>322.89999999999992</c:v>
                </c:pt>
                <c:pt idx="8">
                  <c:v>178.06584000000001</c:v>
                </c:pt>
                <c:pt idx="9">
                  <c:v>186</c:v>
                </c:pt>
                <c:pt idx="10">
                  <c:v>165.65000000000003</c:v>
                </c:pt>
                <c:pt idx="11">
                  <c:v>75</c:v>
                </c:pt>
                <c:pt idx="12">
                  <c:v>85</c:v>
                </c:pt>
                <c:pt idx="13">
                  <c:v>0</c:v>
                </c:pt>
                <c:pt idx="14">
                  <c:v>0</c:v>
                </c:pt>
                <c:pt idx="15">
                  <c:v>1.1686000000000001</c:v>
                </c:pt>
                <c:pt idx="16">
                  <c:v>0.79161999999999988</c:v>
                </c:pt>
                <c:pt idx="17">
                  <c:v>1.1928999999999998</c:v>
                </c:pt>
                <c:pt idx="18">
                  <c:v>2.371</c:v>
                </c:pt>
                <c:pt idx="19">
                  <c:v>1.4795</c:v>
                </c:pt>
                <c:pt idx="20">
                  <c:v>0.88700000000000001</c:v>
                </c:pt>
                <c:pt idx="21">
                  <c:v>5.1696199999999992</c:v>
                </c:pt>
                <c:pt idx="22">
                  <c:v>89.545159999999996</c:v>
                </c:pt>
              </c:numCache>
            </c:numRef>
          </c:val>
          <c:smooth val="0"/>
          <c:extLst>
            <c:ext xmlns:c16="http://schemas.microsoft.com/office/drawing/2014/chart" uri="{C3380CC4-5D6E-409C-BE32-E72D297353CC}">
              <c16:uniqueId val="{00000003-7C5C-4F0E-97CA-4982A160E90B}"/>
            </c:ext>
          </c:extLst>
        </c:ser>
        <c:ser>
          <c:idx val="5"/>
          <c:order val="4"/>
          <c:tx>
            <c:strRef>
              <c:f>'ICCAT_Rawdata_Med_1995-2017'!$X$1</c:f>
              <c:strCache>
                <c:ptCount val="1"/>
                <c:pt idx="0">
                  <c:v>PS</c:v>
                </c:pt>
              </c:strCache>
            </c:strRef>
          </c:tx>
          <c:spPr>
            <a:ln w="38100" cap="rnd">
              <a:solidFill>
                <a:schemeClr val="accent6"/>
              </a:solidFill>
              <a:round/>
            </a:ln>
            <a:effectLst/>
          </c:spPr>
          <c:marker>
            <c:symbol val="none"/>
          </c:marker>
          <c:cat>
            <c:numRef>
              <c:f>'ICCAT_Rawdata_Med_1995-2017'!$S$2:$S$24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'ICCAT_Rawdata_Med_1995-2017'!$X$2:$X$24</c:f>
              <c:numCache>
                <c:formatCode>_(* #,##0.00_);_(* \(#,##0.00\);_(* "-"??_);_(@_)</c:formatCode>
                <c:ptCount val="23"/>
                <c:pt idx="0">
                  <c:v>23798.999999999996</c:v>
                </c:pt>
                <c:pt idx="1">
                  <c:v>26021</c:v>
                </c:pt>
                <c:pt idx="2">
                  <c:v>24278.999990000004</c:v>
                </c:pt>
                <c:pt idx="3">
                  <c:v>31792.127020000007</c:v>
                </c:pt>
                <c:pt idx="4">
                  <c:v>33798.495999999999</c:v>
                </c:pt>
                <c:pt idx="5">
                  <c:v>33237.382000000012</c:v>
                </c:pt>
                <c:pt idx="6">
                  <c:v>33043.168000000005</c:v>
                </c:pt>
                <c:pt idx="7">
                  <c:v>34043.947999999989</c:v>
                </c:pt>
                <c:pt idx="8">
                  <c:v>37290.741679999992</c:v>
                </c:pt>
                <c:pt idx="9">
                  <c:v>37869.342000000004</c:v>
                </c:pt>
                <c:pt idx="10">
                  <c:v>36638.954999999994</c:v>
                </c:pt>
                <c:pt idx="11">
                  <c:v>38362.802680000001</c:v>
                </c:pt>
                <c:pt idx="12">
                  <c:v>48994.287020000018</c:v>
                </c:pt>
                <c:pt idx="13">
                  <c:v>13540.290130000001</c:v>
                </c:pt>
                <c:pt idx="14">
                  <c:v>11447.608990000002</c:v>
                </c:pt>
                <c:pt idx="15">
                  <c:v>4985.5601900000011</c:v>
                </c:pt>
                <c:pt idx="16">
                  <c:v>4306.0736300000008</c:v>
                </c:pt>
                <c:pt idx="17">
                  <c:v>6183.0663800000002</c:v>
                </c:pt>
                <c:pt idx="18">
                  <c:v>7991.7807299999977</c:v>
                </c:pt>
                <c:pt idx="19">
                  <c:v>8195.0094699999972</c:v>
                </c:pt>
                <c:pt idx="20">
                  <c:v>9994.2189700000017</c:v>
                </c:pt>
                <c:pt idx="21">
                  <c:v>11319.00114</c:v>
                </c:pt>
                <c:pt idx="22">
                  <c:v>14470.333109999994</c:v>
                </c:pt>
              </c:numCache>
            </c:numRef>
          </c:val>
          <c:smooth val="0"/>
          <c:extLst>
            <c:ext xmlns:c16="http://schemas.microsoft.com/office/drawing/2014/chart" uri="{C3380CC4-5D6E-409C-BE32-E72D297353CC}">
              <c16:uniqueId val="{00000004-7C5C-4F0E-97CA-4982A160E90B}"/>
            </c:ext>
          </c:extLst>
        </c:ser>
        <c:ser>
          <c:idx val="6"/>
          <c:order val="5"/>
          <c:tx>
            <c:strRef>
              <c:f>'ICCAT_Rawdata_Med_1995-2017'!$Y$1</c:f>
              <c:strCache>
                <c:ptCount val="1"/>
                <c:pt idx="0">
                  <c:v>RR</c:v>
                </c:pt>
              </c:strCache>
            </c:strRef>
          </c:tx>
          <c:spPr>
            <a:ln w="38100" cap="rnd">
              <a:solidFill>
                <a:schemeClr val="accent1">
                  <a:lumMod val="60000"/>
                </a:schemeClr>
              </a:solidFill>
              <a:round/>
            </a:ln>
            <a:effectLst/>
          </c:spPr>
          <c:marker>
            <c:symbol val="none"/>
          </c:marker>
          <c:cat>
            <c:numRef>
              <c:f>'ICCAT_Rawdata_Med_1995-2017'!$S$2:$S$24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'ICCAT_Rawdata_Med_1995-2017'!$Y$2:$Y$24</c:f>
              <c:numCache>
                <c:formatCode>_(* #,##0.00_);_(* \(#,##0.00\);_(* "-"??_);_(@_)</c:formatCode>
                <c:ptCount val="23"/>
                <c:pt idx="0">
                  <c:v>816</c:v>
                </c:pt>
                <c:pt idx="1">
                  <c:v>321.27699999999999</c:v>
                </c:pt>
                <c:pt idx="2">
                  <c:v>31.444000000000003</c:v>
                </c:pt>
                <c:pt idx="3">
                  <c:v>31.444000000000003</c:v>
                </c:pt>
                <c:pt idx="4">
                  <c:v>248.13318000000007</c:v>
                </c:pt>
                <c:pt idx="5">
                  <c:v>230.77693000000002</c:v>
                </c:pt>
                <c:pt idx="6">
                  <c:v>276.91995999999995</c:v>
                </c:pt>
                <c:pt idx="7">
                  <c:v>361.7708100000001</c:v>
                </c:pt>
                <c:pt idx="8">
                  <c:v>293.35486000000009</c:v>
                </c:pt>
                <c:pt idx="9">
                  <c:v>285.58269999999993</c:v>
                </c:pt>
                <c:pt idx="10">
                  <c:v>283.79316</c:v>
                </c:pt>
                <c:pt idx="11">
                  <c:v>157.25086000000002</c:v>
                </c:pt>
                <c:pt idx="12">
                  <c:v>42.862079999999999</c:v>
                </c:pt>
                <c:pt idx="13">
                  <c:v>16.582999999999998</c:v>
                </c:pt>
                <c:pt idx="14">
                  <c:v>58.205799999999996</c:v>
                </c:pt>
                <c:pt idx="15">
                  <c:v>188.06575999999998</c:v>
                </c:pt>
                <c:pt idx="16">
                  <c:v>80.022200000000012</c:v>
                </c:pt>
                <c:pt idx="17">
                  <c:v>7.5649999999999995</c:v>
                </c:pt>
                <c:pt idx="18">
                  <c:v>9.7089999999999996</c:v>
                </c:pt>
                <c:pt idx="19">
                  <c:v>11.094360000000002</c:v>
                </c:pt>
                <c:pt idx="20">
                  <c:v>12.803280000000003</c:v>
                </c:pt>
                <c:pt idx="21">
                  <c:v>1.724</c:v>
                </c:pt>
                <c:pt idx="22">
                  <c:v>17.339120000000005</c:v>
                </c:pt>
              </c:numCache>
            </c:numRef>
          </c:val>
          <c:smooth val="0"/>
          <c:extLst>
            <c:ext xmlns:c16="http://schemas.microsoft.com/office/drawing/2014/chart" uri="{C3380CC4-5D6E-409C-BE32-E72D297353CC}">
              <c16:uniqueId val="{00000005-7C5C-4F0E-97CA-4982A160E90B}"/>
            </c:ext>
          </c:extLst>
        </c:ser>
        <c:ser>
          <c:idx val="7"/>
          <c:order val="6"/>
          <c:tx>
            <c:strRef>
              <c:f>'ICCAT_Rawdata_Med_1995-2017'!$Z$1</c:f>
              <c:strCache>
                <c:ptCount val="1"/>
                <c:pt idx="0">
                  <c:v>TP</c:v>
                </c:pt>
              </c:strCache>
            </c:strRef>
          </c:tx>
          <c:spPr>
            <a:ln w="38100" cap="rnd">
              <a:solidFill>
                <a:schemeClr val="accent2">
                  <a:lumMod val="60000"/>
                </a:schemeClr>
              </a:solidFill>
              <a:round/>
            </a:ln>
            <a:effectLst/>
          </c:spPr>
          <c:marker>
            <c:symbol val="none"/>
          </c:marker>
          <c:cat>
            <c:numRef>
              <c:f>'ICCAT_Rawdata_Med_1995-2017'!$S$2:$S$24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'ICCAT_Rawdata_Med_1995-2017'!$Z$2:$Z$24</c:f>
              <c:numCache>
                <c:formatCode>_(* #,##0.00_);_(* \(#,##0.00\);_(* "-"??_);_(@_)</c:formatCode>
                <c:ptCount val="23"/>
                <c:pt idx="0">
                  <c:v>941.96</c:v>
                </c:pt>
                <c:pt idx="1">
                  <c:v>950.61</c:v>
                </c:pt>
                <c:pt idx="2">
                  <c:v>612.9</c:v>
                </c:pt>
                <c:pt idx="3">
                  <c:v>852</c:v>
                </c:pt>
                <c:pt idx="4">
                  <c:v>852</c:v>
                </c:pt>
                <c:pt idx="5">
                  <c:v>739.00300000000004</c:v>
                </c:pt>
                <c:pt idx="6">
                  <c:v>1177.2719999999999</c:v>
                </c:pt>
                <c:pt idx="7">
                  <c:v>515.279</c:v>
                </c:pt>
                <c:pt idx="8">
                  <c:v>220.64599999999999</c:v>
                </c:pt>
                <c:pt idx="9">
                  <c:v>154.22299999999998</c:v>
                </c:pt>
                <c:pt idx="10">
                  <c:v>111.84200000000001</c:v>
                </c:pt>
                <c:pt idx="11">
                  <c:v>125.315</c:v>
                </c:pt>
                <c:pt idx="12">
                  <c:v>93.054000000000002</c:v>
                </c:pt>
                <c:pt idx="13">
                  <c:v>151.56200000000001</c:v>
                </c:pt>
                <c:pt idx="14">
                  <c:v>143.94049999999999</c:v>
                </c:pt>
                <c:pt idx="15">
                  <c:v>280.8347</c:v>
                </c:pt>
                <c:pt idx="16">
                  <c:v>164.74719999999999</c:v>
                </c:pt>
                <c:pt idx="17">
                  <c:v>125.2239</c:v>
                </c:pt>
                <c:pt idx="18">
                  <c:v>222.0025</c:v>
                </c:pt>
                <c:pt idx="19">
                  <c:v>231.76079999999999</c:v>
                </c:pt>
                <c:pt idx="20">
                  <c:v>192.01668000000001</c:v>
                </c:pt>
                <c:pt idx="21">
                  <c:v>0</c:v>
                </c:pt>
                <c:pt idx="22">
                  <c:v>271.50695999999999</c:v>
                </c:pt>
              </c:numCache>
            </c:numRef>
          </c:val>
          <c:smooth val="0"/>
          <c:extLst>
            <c:ext xmlns:c16="http://schemas.microsoft.com/office/drawing/2014/chart" uri="{C3380CC4-5D6E-409C-BE32-E72D297353CC}">
              <c16:uniqueId val="{00000006-7C5C-4F0E-97CA-4982A160E90B}"/>
            </c:ext>
          </c:extLst>
        </c:ser>
        <c:ser>
          <c:idx val="8"/>
          <c:order val="7"/>
          <c:tx>
            <c:strRef>
              <c:f>'ICCAT_Rawdata_Med_1995-2017'!$AA$1</c:f>
              <c:strCache>
                <c:ptCount val="1"/>
                <c:pt idx="0">
                  <c:v>TR</c:v>
                </c:pt>
              </c:strCache>
            </c:strRef>
          </c:tx>
          <c:spPr>
            <a:ln w="38100" cap="rnd">
              <a:solidFill>
                <a:schemeClr val="accent3">
                  <a:lumMod val="60000"/>
                </a:schemeClr>
              </a:solidFill>
              <a:round/>
            </a:ln>
            <a:effectLst/>
          </c:spPr>
          <c:marker>
            <c:symbol val="none"/>
          </c:marker>
          <c:cat>
            <c:numRef>
              <c:f>'ICCAT_Rawdata_Med_1995-2017'!$S$2:$S$24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'ICCAT_Rawdata_Med_1995-2017'!$AA$2:$AA$24</c:f>
              <c:numCache>
                <c:formatCode>_(* #,##0.00_);_(* \(#,##0.00\);_(* "-"??_);_(@_)</c:formatCode>
                <c:ptCount val="23"/>
                <c:pt idx="0">
                  <c:v>17.421000000000003</c:v>
                </c:pt>
                <c:pt idx="1">
                  <c:v>78.992000000000019</c:v>
                </c:pt>
                <c:pt idx="2">
                  <c:v>7.1030000000000015</c:v>
                </c:pt>
                <c:pt idx="3">
                  <c:v>10.645000000000003</c:v>
                </c:pt>
                <c:pt idx="4">
                  <c:v>9.911999999999999</c:v>
                </c:pt>
                <c:pt idx="5">
                  <c:v>2.1680000000000001</c:v>
                </c:pt>
                <c:pt idx="6">
                  <c:v>4.9969999999999999</c:v>
                </c:pt>
                <c:pt idx="7">
                  <c:v>16.659000000000002</c:v>
                </c:pt>
                <c:pt idx="8">
                  <c:v>19.441000000000003</c:v>
                </c:pt>
                <c:pt idx="9">
                  <c:v>10.379999999999999</c:v>
                </c:pt>
                <c:pt idx="10">
                  <c:v>9.0440000000000005</c:v>
                </c:pt>
                <c:pt idx="11">
                  <c:v>6.34</c:v>
                </c:pt>
                <c:pt idx="12">
                  <c:v>0</c:v>
                </c:pt>
                <c:pt idx="13">
                  <c:v>0</c:v>
                </c:pt>
                <c:pt idx="14">
                  <c:v>0</c:v>
                </c:pt>
                <c:pt idx="15">
                  <c:v>0</c:v>
                </c:pt>
                <c:pt idx="16">
                  <c:v>0</c:v>
                </c:pt>
                <c:pt idx="17">
                  <c:v>0</c:v>
                </c:pt>
                <c:pt idx="18">
                  <c:v>17.388999999999999</c:v>
                </c:pt>
                <c:pt idx="19">
                  <c:v>27.941600000000001</c:v>
                </c:pt>
                <c:pt idx="20">
                  <c:v>1.8520000000000001</c:v>
                </c:pt>
                <c:pt idx="21">
                  <c:v>31.504389999999997</c:v>
                </c:pt>
                <c:pt idx="22">
                  <c:v>0</c:v>
                </c:pt>
              </c:numCache>
            </c:numRef>
          </c:val>
          <c:smooth val="0"/>
          <c:extLst>
            <c:ext xmlns:c16="http://schemas.microsoft.com/office/drawing/2014/chart" uri="{C3380CC4-5D6E-409C-BE32-E72D297353CC}">
              <c16:uniqueId val="{00000007-7C5C-4F0E-97CA-4982A160E90B}"/>
            </c:ext>
          </c:extLst>
        </c:ser>
        <c:dLbls>
          <c:showLegendKey val="0"/>
          <c:showVal val="0"/>
          <c:showCatName val="0"/>
          <c:showSerName val="0"/>
          <c:showPercent val="0"/>
          <c:showBubbleSize val="0"/>
        </c:dLbls>
        <c:smooth val="0"/>
        <c:axId val="685018112"/>
        <c:axId val="685018768"/>
      </c:lineChart>
      <c:catAx>
        <c:axId val="68501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685018768"/>
        <c:crosses val="autoZero"/>
        <c:auto val="1"/>
        <c:lblAlgn val="ctr"/>
        <c:lblOffset val="100"/>
        <c:noMultiLvlLbl val="0"/>
      </c:catAx>
      <c:valAx>
        <c:axId val="685018768"/>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TOnnes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5018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Yearly Total Catch</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'ICCAT_Rawdata_Med_1995-2017'!$AB$1</c:f>
              <c:strCache>
                <c:ptCount val="1"/>
                <c:pt idx="0">
                  <c:v>Total Catches</c:v>
                </c:pt>
              </c:strCache>
            </c:strRef>
          </c:tx>
          <c:spPr>
            <a:solidFill>
              <a:schemeClr val="tx1"/>
            </a:solidFill>
            <a:ln>
              <a:noFill/>
            </a:ln>
            <a:effectLst/>
          </c:spPr>
          <c:invertIfNegative val="0"/>
          <c:cat>
            <c:numRef>
              <c:f>'ICCAT_Rawdata_Med_1995-2017'!$S$2:$S$24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'ICCAT_Rawdata_Med_1995-2017'!$AB$2:$AB$24</c:f>
              <c:numCache>
                <c:formatCode>_(* #,##0.00_);_(* \(#,##0.00\);_(* "-"??_);_(@_)</c:formatCode>
                <c:ptCount val="23"/>
                <c:pt idx="0">
                  <c:v>30822.206149999995</c:v>
                </c:pt>
                <c:pt idx="1">
                  <c:v>39398.882989999998</c:v>
                </c:pt>
                <c:pt idx="2">
                  <c:v>34593.671020000009</c:v>
                </c:pt>
                <c:pt idx="3">
                  <c:v>38148.288000000008</c:v>
                </c:pt>
                <c:pt idx="4">
                  <c:v>39753.192009999992</c:v>
                </c:pt>
                <c:pt idx="5">
                  <c:v>39938.765980000004</c:v>
                </c:pt>
                <c:pt idx="6">
                  <c:v>39913.649030000008</c:v>
                </c:pt>
                <c:pt idx="7">
                  <c:v>39653.466009999996</c:v>
                </c:pt>
                <c:pt idx="8">
                  <c:v>42605.741359999993</c:v>
                </c:pt>
                <c:pt idx="9">
                  <c:v>42597.87</c:v>
                </c:pt>
                <c:pt idx="10">
                  <c:v>40976.508989999995</c:v>
                </c:pt>
                <c:pt idx="11">
                  <c:v>42471.378000000004</c:v>
                </c:pt>
                <c:pt idx="12">
                  <c:v>52558.846100000017</c:v>
                </c:pt>
                <c:pt idx="13">
                  <c:v>16213.339660000001</c:v>
                </c:pt>
                <c:pt idx="14">
                  <c:v>13133.359750000003</c:v>
                </c:pt>
                <c:pt idx="15">
                  <c:v>6958.7729900000013</c:v>
                </c:pt>
                <c:pt idx="16">
                  <c:v>5789.8291000000008</c:v>
                </c:pt>
                <c:pt idx="17">
                  <c:v>7099.6639299999997</c:v>
                </c:pt>
                <c:pt idx="18">
                  <c:v>9080.3303499999984</c:v>
                </c:pt>
                <c:pt idx="19">
                  <c:v>9342.6980799999965</c:v>
                </c:pt>
                <c:pt idx="20">
                  <c:v>11359.327600000002</c:v>
                </c:pt>
                <c:pt idx="21">
                  <c:v>13162.131890000001</c:v>
                </c:pt>
                <c:pt idx="22">
                  <c:v>16679.584339999994</c:v>
                </c:pt>
              </c:numCache>
            </c:numRef>
          </c:val>
          <c:extLst>
            <c:ext xmlns:c16="http://schemas.microsoft.com/office/drawing/2014/chart" uri="{C3380CC4-5D6E-409C-BE32-E72D297353CC}">
              <c16:uniqueId val="{00000000-AA56-4A4E-9847-91FF24B4652F}"/>
            </c:ext>
          </c:extLst>
        </c:ser>
        <c:dLbls>
          <c:showLegendKey val="0"/>
          <c:showVal val="0"/>
          <c:showCatName val="0"/>
          <c:showSerName val="0"/>
          <c:showPercent val="0"/>
          <c:showBubbleSize val="0"/>
        </c:dLbls>
        <c:gapWidth val="150"/>
        <c:axId val="368209400"/>
        <c:axId val="368212024"/>
      </c:barChart>
      <c:catAx>
        <c:axId val="36820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212024"/>
        <c:crosses val="autoZero"/>
        <c:auto val="1"/>
        <c:lblAlgn val="ctr"/>
        <c:lblOffset val="100"/>
        <c:noMultiLvlLbl val="0"/>
      </c:catAx>
      <c:valAx>
        <c:axId val="368212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Tonnes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2094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catch by country</a:t>
            </a:r>
          </a:p>
          <a:p>
            <a:pPr>
              <a:defRPr/>
            </a:pPr>
            <a:r>
              <a:rPr lang="en-US"/>
              <a:t>1995-2017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ICCAT_country_Med!$U$6</c:f>
              <c:strCache>
                <c:ptCount val="1"/>
                <c:pt idx="0">
                  <c:v>Total catch</c:v>
                </c:pt>
              </c:strCache>
            </c:strRef>
          </c:tx>
          <c:spPr>
            <a:solidFill>
              <a:schemeClr val="tx1"/>
            </a:solidFill>
            <a:ln>
              <a:noFill/>
            </a:ln>
            <a:effectLst/>
          </c:spPr>
          <c:invertIfNegative val="0"/>
          <c:cat>
            <c:strRef>
              <c:f>ICCAT_country_Med!$T$7:$T$25</c:f>
              <c:strCache>
                <c:ptCount val="19"/>
                <c:pt idx="0">
                  <c:v>Albania</c:v>
                </c:pt>
                <c:pt idx="1">
                  <c:v>Algeria</c:v>
                </c:pt>
                <c:pt idx="2">
                  <c:v>China</c:v>
                </c:pt>
                <c:pt idx="3">
                  <c:v>China Taipei</c:v>
                </c:pt>
                <c:pt idx="4">
                  <c:v>Egypt</c:v>
                </c:pt>
                <c:pt idx="5">
                  <c:v>EU</c:v>
                </c:pt>
                <c:pt idx="6">
                  <c:v>Iccat</c:v>
                </c:pt>
                <c:pt idx="7">
                  <c:v>Iceland</c:v>
                </c:pt>
                <c:pt idx="8">
                  <c:v>Israel</c:v>
                </c:pt>
                <c:pt idx="9">
                  <c:v>Japan</c:v>
                </c:pt>
                <c:pt idx="10">
                  <c:v>Korea</c:v>
                </c:pt>
                <c:pt idx="11">
                  <c:v>Libya</c:v>
                </c:pt>
                <c:pt idx="12">
                  <c:v>Maroc</c:v>
                </c:pt>
                <c:pt idx="13">
                  <c:v>Panama</c:v>
                </c:pt>
                <c:pt idx="14">
                  <c:v>Serbia</c:v>
                </c:pt>
                <c:pt idx="15">
                  <c:v>Syria</c:v>
                </c:pt>
                <c:pt idx="16">
                  <c:v>Tunisa</c:v>
                </c:pt>
                <c:pt idx="17">
                  <c:v>Turkey</c:v>
                </c:pt>
                <c:pt idx="18">
                  <c:v>NEI</c:v>
                </c:pt>
              </c:strCache>
            </c:strRef>
          </c:cat>
          <c:val>
            <c:numRef>
              <c:f>ICCAT_country_Med!$U$7:$U$25</c:f>
              <c:numCache>
                <c:formatCode>General</c:formatCode>
                <c:ptCount val="19"/>
                <c:pt idx="0">
                  <c:v>235.28800000000001</c:v>
                </c:pt>
                <c:pt idx="1">
                  <c:v>22623.629810000002</c:v>
                </c:pt>
                <c:pt idx="2">
                  <c:v>462.44520000000006</c:v>
                </c:pt>
                <c:pt idx="3">
                  <c:v>963.42750000000012</c:v>
                </c:pt>
                <c:pt idx="4">
                  <c:v>569.56960000000004</c:v>
                </c:pt>
                <c:pt idx="5">
                  <c:v>293842.11792000016</c:v>
                </c:pt>
                <c:pt idx="6">
                  <c:v>8.9470700000000001</c:v>
                </c:pt>
                <c:pt idx="7">
                  <c:v>50</c:v>
                </c:pt>
                <c:pt idx="8">
                  <c:v>14</c:v>
                </c:pt>
                <c:pt idx="9">
                  <c:v>4976.5614100000021</c:v>
                </c:pt>
                <c:pt idx="10">
                  <c:v>4043.2083800000014</c:v>
                </c:pt>
                <c:pt idx="11">
                  <c:v>25417.684620000007</c:v>
                </c:pt>
                <c:pt idx="12">
                  <c:v>11146.946999999995</c:v>
                </c:pt>
                <c:pt idx="13">
                  <c:v>3240.1484</c:v>
                </c:pt>
                <c:pt idx="14">
                  <c:v>10.35</c:v>
                </c:pt>
                <c:pt idx="15">
                  <c:v>267.87599999999998</c:v>
                </c:pt>
                <c:pt idx="16">
                  <c:v>41282.814590000009</c:v>
                </c:pt>
                <c:pt idx="17">
                  <c:v>41994.566039999998</c:v>
                </c:pt>
                <c:pt idx="18">
                  <c:v>180073.69941999993</c:v>
                </c:pt>
              </c:numCache>
            </c:numRef>
          </c:val>
          <c:extLst>
            <c:ext xmlns:c16="http://schemas.microsoft.com/office/drawing/2014/chart" uri="{C3380CC4-5D6E-409C-BE32-E72D297353CC}">
              <c16:uniqueId val="{00000000-F69D-45D7-865D-DCDFF34ECBF4}"/>
            </c:ext>
          </c:extLst>
        </c:ser>
        <c:dLbls>
          <c:showLegendKey val="0"/>
          <c:showVal val="0"/>
          <c:showCatName val="0"/>
          <c:showSerName val="0"/>
          <c:showPercent val="0"/>
          <c:showBubbleSize val="0"/>
        </c:dLbls>
        <c:gapWidth val="150"/>
        <c:axId val="567874848"/>
        <c:axId val="567873864"/>
      </c:barChart>
      <c:catAx>
        <c:axId val="56787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873864"/>
        <c:crosses val="autoZero"/>
        <c:auto val="1"/>
        <c:lblAlgn val="ctr"/>
        <c:lblOffset val="100"/>
        <c:noMultiLvlLbl val="0"/>
      </c:catAx>
      <c:valAx>
        <c:axId val="5678738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8748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j-lt"/>
                <a:ea typeface="+mj-ea"/>
                <a:cs typeface="+mj-cs"/>
              </a:defRPr>
            </a:pPr>
            <a:r>
              <a:rPr lang="en-GB" sz="1100"/>
              <a:t>Catch based on gear type-East Atlantic</a:t>
            </a:r>
          </a:p>
          <a:p>
            <a:pPr>
              <a:defRPr sz="1100"/>
            </a:pPr>
            <a:r>
              <a:rPr lang="en-GB" sz="1100"/>
              <a:t>1995-2017</a:t>
            </a:r>
          </a:p>
        </c:rich>
      </c:tx>
      <c:overlay val="0"/>
      <c:spPr>
        <a:noFill/>
        <a:ln>
          <a:noFill/>
        </a:ln>
        <a:effectLst/>
      </c:spPr>
      <c:txPr>
        <a:bodyPr rot="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1"/>
          <c:order val="0"/>
          <c:tx>
            <c:strRef>
              <c:f>ICCAT_Rawdata_ATE_1995_2017!$T$1</c:f>
              <c:strCache>
                <c:ptCount val="1"/>
                <c:pt idx="0">
                  <c:v>bb</c:v>
                </c:pt>
              </c:strCache>
            </c:strRef>
          </c:tx>
          <c:spPr>
            <a:ln w="38100" cap="rnd">
              <a:solidFill>
                <a:schemeClr val="accent2"/>
              </a:solidFill>
              <a:round/>
            </a:ln>
            <a:effectLst/>
          </c:spPr>
          <c:marker>
            <c:symbol val="none"/>
          </c:marker>
          <c:cat>
            <c:numRef>
              <c:f>ICCAT_Rawdata_ATE_1995_2017!$S$2:$S$24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ICCAT_Rawdata_ATE_1995_2017!$T$2:$T$24</c:f>
              <c:numCache>
                <c:formatCode>_(* #,##0.00_);_(* \(#,##0.00\);_(* "-"??_);_(@_)</c:formatCode>
                <c:ptCount val="23"/>
                <c:pt idx="0">
                  <c:v>3093.2590199999995</c:v>
                </c:pt>
                <c:pt idx="1">
                  <c:v>5368.8809900000006</c:v>
                </c:pt>
                <c:pt idx="2">
                  <c:v>7214.5929999999998</c:v>
                </c:pt>
                <c:pt idx="3">
                  <c:v>3139.3249999999994</c:v>
                </c:pt>
                <c:pt idx="4">
                  <c:v>1553.5309999999999</c:v>
                </c:pt>
                <c:pt idx="5">
                  <c:v>2032.4389999999999</c:v>
                </c:pt>
                <c:pt idx="6">
                  <c:v>2426.2370099999998</c:v>
                </c:pt>
                <c:pt idx="7">
                  <c:v>2634.6173799999997</c:v>
                </c:pt>
                <c:pt idx="8">
                  <c:v>1409.4139999999998</c:v>
                </c:pt>
                <c:pt idx="9">
                  <c:v>1901.7280000000001</c:v>
                </c:pt>
                <c:pt idx="10">
                  <c:v>2282.2864000000009</c:v>
                </c:pt>
                <c:pt idx="11">
                  <c:v>1262.5736000000002</c:v>
                </c:pt>
                <c:pt idx="12">
                  <c:v>2435.7731799999992</c:v>
                </c:pt>
                <c:pt idx="13">
                  <c:v>2393.3930000000005</c:v>
                </c:pt>
                <c:pt idx="14">
                  <c:v>1259.5686199999996</c:v>
                </c:pt>
                <c:pt idx="15">
                  <c:v>724.52850000000001</c:v>
                </c:pt>
                <c:pt idx="16">
                  <c:v>635.91150000000016</c:v>
                </c:pt>
                <c:pt idx="17">
                  <c:v>282.88198</c:v>
                </c:pt>
                <c:pt idx="18">
                  <c:v>243.02231999999998</c:v>
                </c:pt>
                <c:pt idx="19">
                  <c:v>94.581199999999995</c:v>
                </c:pt>
                <c:pt idx="20">
                  <c:v>171.68260000000004</c:v>
                </c:pt>
                <c:pt idx="21">
                  <c:v>1085.2889</c:v>
                </c:pt>
                <c:pt idx="22">
                  <c:v>1194.5787000000003</c:v>
                </c:pt>
              </c:numCache>
            </c:numRef>
          </c:val>
          <c:smooth val="0"/>
          <c:extLst>
            <c:ext xmlns:c16="http://schemas.microsoft.com/office/drawing/2014/chart" uri="{C3380CC4-5D6E-409C-BE32-E72D297353CC}">
              <c16:uniqueId val="{00000000-EE40-4449-849B-747B4167AB81}"/>
            </c:ext>
          </c:extLst>
        </c:ser>
        <c:ser>
          <c:idx val="2"/>
          <c:order val="1"/>
          <c:tx>
            <c:strRef>
              <c:f>ICCAT_Rawdata_ATE_1995_2017!$U$1</c:f>
              <c:strCache>
                <c:ptCount val="1"/>
                <c:pt idx="0">
                  <c:v>HL</c:v>
                </c:pt>
              </c:strCache>
            </c:strRef>
          </c:tx>
          <c:spPr>
            <a:ln w="38100" cap="rnd">
              <a:solidFill>
                <a:schemeClr val="accent3"/>
              </a:solidFill>
              <a:round/>
            </a:ln>
            <a:effectLst/>
          </c:spPr>
          <c:marker>
            <c:symbol val="none"/>
          </c:marker>
          <c:cat>
            <c:numRef>
              <c:f>ICCAT_Rawdata_ATE_1995_2017!$S$2:$S$24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ICCAT_Rawdata_ATE_1995_2017!$U$2:$U$24</c:f>
              <c:numCache>
                <c:formatCode>_(* #,##0.00_);_(* \(#,##0.00\);_(* "-"??_);_(@_)</c:formatCode>
                <c:ptCount val="23"/>
                <c:pt idx="0">
                  <c:v>0</c:v>
                </c:pt>
                <c:pt idx="1">
                  <c:v>0</c:v>
                </c:pt>
                <c:pt idx="2">
                  <c:v>162</c:v>
                </c:pt>
                <c:pt idx="3">
                  <c:v>324</c:v>
                </c:pt>
                <c:pt idx="4">
                  <c:v>324</c:v>
                </c:pt>
                <c:pt idx="5">
                  <c:v>324</c:v>
                </c:pt>
                <c:pt idx="6">
                  <c:v>61.2</c:v>
                </c:pt>
                <c:pt idx="7">
                  <c:v>62.5</c:v>
                </c:pt>
                <c:pt idx="8">
                  <c:v>109.03999999999999</c:v>
                </c:pt>
                <c:pt idx="9">
                  <c:v>87.231999999999999</c:v>
                </c:pt>
                <c:pt idx="10">
                  <c:v>11.31</c:v>
                </c:pt>
                <c:pt idx="11">
                  <c:v>4.2380000000000004</c:v>
                </c:pt>
                <c:pt idx="12">
                  <c:v>10.41</c:v>
                </c:pt>
                <c:pt idx="13">
                  <c:v>6.2830000000000004</c:v>
                </c:pt>
                <c:pt idx="14">
                  <c:v>1.97716</c:v>
                </c:pt>
                <c:pt idx="15">
                  <c:v>20.937999999999999</c:v>
                </c:pt>
                <c:pt idx="16">
                  <c:v>18.9374</c:v>
                </c:pt>
                <c:pt idx="17">
                  <c:v>25.336300000000001</c:v>
                </c:pt>
                <c:pt idx="18">
                  <c:v>20.692999999999998</c:v>
                </c:pt>
                <c:pt idx="19">
                  <c:v>16.326499999999999</c:v>
                </c:pt>
                <c:pt idx="20">
                  <c:v>60.353799999999985</c:v>
                </c:pt>
                <c:pt idx="21">
                  <c:v>34.865000000000002</c:v>
                </c:pt>
                <c:pt idx="22">
                  <c:v>100.92119999999998</c:v>
                </c:pt>
              </c:numCache>
            </c:numRef>
          </c:val>
          <c:smooth val="0"/>
          <c:extLst>
            <c:ext xmlns:c16="http://schemas.microsoft.com/office/drawing/2014/chart" uri="{C3380CC4-5D6E-409C-BE32-E72D297353CC}">
              <c16:uniqueId val="{00000001-EE40-4449-849B-747B4167AB81}"/>
            </c:ext>
          </c:extLst>
        </c:ser>
        <c:ser>
          <c:idx val="3"/>
          <c:order val="2"/>
          <c:tx>
            <c:strRef>
              <c:f>ICCAT_Rawdata_ATE_1995_2017!$V$1</c:f>
              <c:strCache>
                <c:ptCount val="1"/>
                <c:pt idx="0">
                  <c:v>LL</c:v>
                </c:pt>
              </c:strCache>
            </c:strRef>
          </c:tx>
          <c:spPr>
            <a:ln w="38100" cap="rnd">
              <a:solidFill>
                <a:schemeClr val="accent4"/>
              </a:solidFill>
              <a:round/>
            </a:ln>
            <a:effectLst/>
          </c:spPr>
          <c:marker>
            <c:symbol val="none"/>
          </c:marker>
          <c:cat>
            <c:numRef>
              <c:f>ICCAT_Rawdata_ATE_1995_2017!$S$2:$S$24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ICCAT_Rawdata_ATE_1995_2017!$V$2:$V$24</c:f>
              <c:numCache>
                <c:formatCode>_(* #,##0.00_);_(* \(#,##0.00\);_(* "-"??_);_(@_)</c:formatCode>
                <c:ptCount val="23"/>
                <c:pt idx="0">
                  <c:v>4521.6700100000007</c:v>
                </c:pt>
                <c:pt idx="1">
                  <c:v>4212.0000499999996</c:v>
                </c:pt>
                <c:pt idx="2">
                  <c:v>4057.4009699999992</c:v>
                </c:pt>
                <c:pt idx="3">
                  <c:v>3789.0000100000002</c:v>
                </c:pt>
                <c:pt idx="4">
                  <c:v>3569.9740299999999</c:v>
                </c:pt>
                <c:pt idx="5">
                  <c:v>3735.6930499999999</c:v>
                </c:pt>
                <c:pt idx="6">
                  <c:v>3303.14399</c:v>
                </c:pt>
                <c:pt idx="7">
                  <c:v>2896.4169699999998</c:v>
                </c:pt>
                <c:pt idx="8">
                  <c:v>2748.4060200000008</c:v>
                </c:pt>
                <c:pt idx="9">
                  <c:v>2063.9019899999994</c:v>
                </c:pt>
                <c:pt idx="10">
                  <c:v>2700.4500000000007</c:v>
                </c:pt>
                <c:pt idx="11">
                  <c:v>2033.0200100000004</c:v>
                </c:pt>
                <c:pt idx="12">
                  <c:v>1704.8786499999997</c:v>
                </c:pt>
                <c:pt idx="13">
                  <c:v>2491.2169999999996</c:v>
                </c:pt>
                <c:pt idx="14">
                  <c:v>1951.15401</c:v>
                </c:pt>
                <c:pt idx="15">
                  <c:v>1193.50575</c:v>
                </c:pt>
                <c:pt idx="16">
                  <c:v>1124.7526800000001</c:v>
                </c:pt>
                <c:pt idx="17">
                  <c:v>1138.8240100000003</c:v>
                </c:pt>
                <c:pt idx="18">
                  <c:v>1167.4449999999999</c:v>
                </c:pt>
                <c:pt idx="19">
                  <c:v>1194.0170000000001</c:v>
                </c:pt>
                <c:pt idx="20">
                  <c:v>1466.5274400000001</c:v>
                </c:pt>
                <c:pt idx="21">
                  <c:v>1828.8477400000002</c:v>
                </c:pt>
                <c:pt idx="22">
                  <c:v>2168.1357199999998</c:v>
                </c:pt>
              </c:numCache>
            </c:numRef>
          </c:val>
          <c:smooth val="0"/>
          <c:extLst>
            <c:ext xmlns:c16="http://schemas.microsoft.com/office/drawing/2014/chart" uri="{C3380CC4-5D6E-409C-BE32-E72D297353CC}">
              <c16:uniqueId val="{00000002-EE40-4449-849B-747B4167AB81}"/>
            </c:ext>
          </c:extLst>
        </c:ser>
        <c:ser>
          <c:idx val="4"/>
          <c:order val="3"/>
          <c:tx>
            <c:strRef>
              <c:f>ICCAT_Rawdata_ATE_1995_2017!$W$1</c:f>
              <c:strCache>
                <c:ptCount val="1"/>
                <c:pt idx="0">
                  <c:v>other</c:v>
                </c:pt>
              </c:strCache>
            </c:strRef>
          </c:tx>
          <c:spPr>
            <a:ln w="38100" cap="rnd">
              <a:solidFill>
                <a:schemeClr val="accent5"/>
              </a:solidFill>
              <a:round/>
            </a:ln>
            <a:effectLst/>
          </c:spPr>
          <c:marker>
            <c:symbol val="none"/>
          </c:marker>
          <c:cat>
            <c:numRef>
              <c:f>ICCAT_Rawdata_ATE_1995_2017!$S$2:$S$24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ICCAT_Rawdata_ATE_1995_2017!$W$2:$W$24</c:f>
              <c:numCache>
                <c:formatCode>_(* #,##0.00_);_(* \(#,##0.00\);_(* "-"??_);_(@_)</c:formatCode>
                <c:ptCount val="23"/>
                <c:pt idx="0">
                  <c:v>555</c:v>
                </c:pt>
                <c:pt idx="1">
                  <c:v>273.14600000000002</c:v>
                </c:pt>
                <c:pt idx="2">
                  <c:v>60.341000000000001</c:v>
                </c:pt>
                <c:pt idx="3">
                  <c:v>387</c:v>
                </c:pt>
                <c:pt idx="4">
                  <c:v>404.12700000000001</c:v>
                </c:pt>
                <c:pt idx="5">
                  <c:v>507.15699999999998</c:v>
                </c:pt>
                <c:pt idx="6">
                  <c:v>557.66999999999996</c:v>
                </c:pt>
                <c:pt idx="7">
                  <c:v>631</c:v>
                </c:pt>
                <c:pt idx="8">
                  <c:v>521.37</c:v>
                </c:pt>
                <c:pt idx="9">
                  <c:v>290.476</c:v>
                </c:pt>
                <c:pt idx="10">
                  <c:v>423.85159999999996</c:v>
                </c:pt>
                <c:pt idx="11">
                  <c:v>831.24540000000013</c:v>
                </c:pt>
                <c:pt idx="12">
                  <c:v>501.37899999999996</c:v>
                </c:pt>
                <c:pt idx="13">
                  <c:v>181.01500000000001</c:v>
                </c:pt>
                <c:pt idx="14">
                  <c:v>296.77450000000005</c:v>
                </c:pt>
                <c:pt idx="15">
                  <c:v>123.85194</c:v>
                </c:pt>
                <c:pt idx="16">
                  <c:v>34.873010000000001</c:v>
                </c:pt>
                <c:pt idx="17">
                  <c:v>48.393889999999999</c:v>
                </c:pt>
                <c:pt idx="18">
                  <c:v>137.34900000000002</c:v>
                </c:pt>
                <c:pt idx="19">
                  <c:v>145.55220000000003</c:v>
                </c:pt>
                <c:pt idx="20">
                  <c:v>191.05599999999995</c:v>
                </c:pt>
                <c:pt idx="21">
                  <c:v>252.56804000000008</c:v>
                </c:pt>
                <c:pt idx="22">
                  <c:v>293.81465999999989</c:v>
                </c:pt>
              </c:numCache>
            </c:numRef>
          </c:val>
          <c:smooth val="0"/>
          <c:extLst>
            <c:ext xmlns:c16="http://schemas.microsoft.com/office/drawing/2014/chart" uri="{C3380CC4-5D6E-409C-BE32-E72D297353CC}">
              <c16:uniqueId val="{00000003-EE40-4449-849B-747B4167AB81}"/>
            </c:ext>
          </c:extLst>
        </c:ser>
        <c:ser>
          <c:idx val="5"/>
          <c:order val="4"/>
          <c:tx>
            <c:strRef>
              <c:f>ICCAT_Rawdata_ATE_1995_2017!$X$1</c:f>
              <c:strCache>
                <c:ptCount val="1"/>
                <c:pt idx="0">
                  <c:v>PS</c:v>
                </c:pt>
              </c:strCache>
            </c:strRef>
          </c:tx>
          <c:spPr>
            <a:ln w="38100" cap="rnd">
              <a:solidFill>
                <a:schemeClr val="accent6"/>
              </a:solidFill>
              <a:round/>
            </a:ln>
            <a:effectLst/>
          </c:spPr>
          <c:marker>
            <c:symbol val="none"/>
          </c:marker>
          <c:cat>
            <c:numRef>
              <c:f>ICCAT_Rawdata_ATE_1995_2017!$S$2:$S$24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ICCAT_Rawdata_ATE_1995_2017!$X$2:$X$24</c:f>
              <c:numCache>
                <c:formatCode>_(* #,##0.00_);_(* \(#,##0.00\);_(* "-"??_);_(@_)</c:formatCode>
                <c:ptCount val="23"/>
                <c:pt idx="0">
                  <c:v>458.1</c:v>
                </c:pt>
                <c:pt idx="1">
                  <c:v>323</c:v>
                </c:pt>
                <c:pt idx="2">
                  <c:v>828</c:v>
                </c:pt>
                <c:pt idx="3">
                  <c:v>699.99999999999989</c:v>
                </c:pt>
                <c:pt idx="4">
                  <c:v>726.10000999999988</c:v>
                </c:pt>
                <c:pt idx="5">
                  <c:v>661.2</c:v>
                </c:pt>
                <c:pt idx="6">
                  <c:v>152.79999999999998</c:v>
                </c:pt>
                <c:pt idx="7">
                  <c:v>886.7</c:v>
                </c:pt>
                <c:pt idx="8">
                  <c:v>490.01400000000001</c:v>
                </c:pt>
                <c:pt idx="9">
                  <c:v>1078</c:v>
                </c:pt>
                <c:pt idx="10">
                  <c:v>1197.3220000000001</c:v>
                </c:pt>
                <c:pt idx="11">
                  <c:v>407.91199999999998</c:v>
                </c:pt>
                <c:pt idx="12">
                  <c:v>0</c:v>
                </c:pt>
                <c:pt idx="13">
                  <c:v>0</c:v>
                </c:pt>
                <c:pt idx="14">
                  <c:v>1.7194</c:v>
                </c:pt>
                <c:pt idx="15">
                  <c:v>0.63009999999999999</c:v>
                </c:pt>
                <c:pt idx="16">
                  <c:v>0.33350000000000002</c:v>
                </c:pt>
                <c:pt idx="17">
                  <c:v>0</c:v>
                </c:pt>
                <c:pt idx="18">
                  <c:v>1.4630000000000001</c:v>
                </c:pt>
                <c:pt idx="19">
                  <c:v>0</c:v>
                </c:pt>
                <c:pt idx="20">
                  <c:v>0</c:v>
                </c:pt>
                <c:pt idx="21">
                  <c:v>41.738</c:v>
                </c:pt>
                <c:pt idx="22">
                  <c:v>48.686999999999998</c:v>
                </c:pt>
              </c:numCache>
            </c:numRef>
          </c:val>
          <c:smooth val="0"/>
          <c:extLst>
            <c:ext xmlns:c16="http://schemas.microsoft.com/office/drawing/2014/chart" uri="{C3380CC4-5D6E-409C-BE32-E72D297353CC}">
              <c16:uniqueId val="{00000004-EE40-4449-849B-747B4167AB81}"/>
            </c:ext>
          </c:extLst>
        </c:ser>
        <c:ser>
          <c:idx val="6"/>
          <c:order val="5"/>
          <c:tx>
            <c:strRef>
              <c:f>ICCAT_Rawdata_ATE_1995_2017!$Y$1</c:f>
              <c:strCache>
                <c:ptCount val="1"/>
                <c:pt idx="0">
                  <c:v>RR</c:v>
                </c:pt>
              </c:strCache>
            </c:strRef>
          </c:tx>
          <c:spPr>
            <a:ln w="38100" cap="rnd">
              <a:solidFill>
                <a:schemeClr val="accent1">
                  <a:lumMod val="60000"/>
                </a:schemeClr>
              </a:solidFill>
              <a:round/>
            </a:ln>
            <a:effectLst/>
          </c:spPr>
          <c:marker>
            <c:symbol val="none"/>
          </c:marker>
          <c:cat>
            <c:numRef>
              <c:f>ICCAT_Rawdata_ATE_1995_2017!$S$2:$S$24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ICCAT_Rawdata_ATE_1995_2017!$Y$2:$Y$24</c:f>
              <c:numCache>
                <c:formatCode>_(* #,##0.00_);_(* \(#,##0.00\);_(* "-"??_);_(@_)</c:formatCode>
                <c:ptCount val="23"/>
                <c:pt idx="0">
                  <c:v>75</c:v>
                </c:pt>
                <c:pt idx="1">
                  <c:v>0</c:v>
                </c:pt>
                <c:pt idx="2">
                  <c:v>0</c:v>
                </c:pt>
                <c:pt idx="3">
                  <c:v>0</c:v>
                </c:pt>
                <c:pt idx="4">
                  <c:v>0</c:v>
                </c:pt>
                <c:pt idx="5">
                  <c:v>0</c:v>
                </c:pt>
                <c:pt idx="6">
                  <c:v>0</c:v>
                </c:pt>
                <c:pt idx="7">
                  <c:v>0</c:v>
                </c:pt>
                <c:pt idx="8">
                  <c:v>0</c:v>
                </c:pt>
                <c:pt idx="9">
                  <c:v>2</c:v>
                </c:pt>
                <c:pt idx="10">
                  <c:v>0</c:v>
                </c:pt>
                <c:pt idx="11">
                  <c:v>95.153999999999996</c:v>
                </c:pt>
                <c:pt idx="12">
                  <c:v>0.63100000000000001</c:v>
                </c:pt>
                <c:pt idx="13">
                  <c:v>5.447000000000001</c:v>
                </c:pt>
                <c:pt idx="14">
                  <c:v>8.9260000000000002</c:v>
                </c:pt>
                <c:pt idx="15">
                  <c:v>22.976489999999998</c:v>
                </c:pt>
                <c:pt idx="16">
                  <c:v>32.193199999999997</c:v>
                </c:pt>
                <c:pt idx="17">
                  <c:v>27.215199999999999</c:v>
                </c:pt>
                <c:pt idx="18">
                  <c:v>25.701000000000001</c:v>
                </c:pt>
                <c:pt idx="19">
                  <c:v>26.444000000000003</c:v>
                </c:pt>
                <c:pt idx="20">
                  <c:v>43.895000000000003</c:v>
                </c:pt>
                <c:pt idx="21">
                  <c:v>0</c:v>
                </c:pt>
                <c:pt idx="22">
                  <c:v>0</c:v>
                </c:pt>
              </c:numCache>
            </c:numRef>
          </c:val>
          <c:smooth val="0"/>
          <c:extLst>
            <c:ext xmlns:c16="http://schemas.microsoft.com/office/drawing/2014/chart" uri="{C3380CC4-5D6E-409C-BE32-E72D297353CC}">
              <c16:uniqueId val="{00000005-EE40-4449-849B-747B4167AB81}"/>
            </c:ext>
          </c:extLst>
        </c:ser>
        <c:ser>
          <c:idx val="7"/>
          <c:order val="6"/>
          <c:tx>
            <c:strRef>
              <c:f>ICCAT_Rawdata_ATE_1995_2017!$Z$1</c:f>
              <c:strCache>
                <c:ptCount val="1"/>
                <c:pt idx="0">
                  <c:v>TP</c:v>
                </c:pt>
              </c:strCache>
            </c:strRef>
          </c:tx>
          <c:spPr>
            <a:ln w="38100" cap="rnd">
              <a:solidFill>
                <a:schemeClr val="accent2">
                  <a:lumMod val="60000"/>
                </a:schemeClr>
              </a:solidFill>
              <a:round/>
            </a:ln>
            <a:effectLst/>
          </c:spPr>
          <c:marker>
            <c:symbol val="none"/>
          </c:marker>
          <c:cat>
            <c:numRef>
              <c:f>ICCAT_Rawdata_ATE_1995_2017!$S$2:$S$24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ICCAT_Rawdata_ATE_1995_2017!$Z$2:$Z$24</c:f>
              <c:numCache>
                <c:formatCode>_(* #,##0.00_);_(* \(#,##0.00\);_(* "-"??_);_(@_)</c:formatCode>
                <c:ptCount val="23"/>
                <c:pt idx="0">
                  <c:v>1152</c:v>
                </c:pt>
                <c:pt idx="1">
                  <c:v>1921.0000000000002</c:v>
                </c:pt>
                <c:pt idx="2">
                  <c:v>3981.9999999999995</c:v>
                </c:pt>
                <c:pt idx="3">
                  <c:v>3586.3869999999997</c:v>
                </c:pt>
                <c:pt idx="4">
                  <c:v>3959.7709999999997</c:v>
                </c:pt>
                <c:pt idx="5">
                  <c:v>2996.424</c:v>
                </c:pt>
                <c:pt idx="6">
                  <c:v>3585.2999999999997</c:v>
                </c:pt>
                <c:pt idx="7">
                  <c:v>3235.3</c:v>
                </c:pt>
                <c:pt idx="8">
                  <c:v>2116.0149999999999</c:v>
                </c:pt>
                <c:pt idx="9">
                  <c:v>1978.0940000000001</c:v>
                </c:pt>
                <c:pt idx="10">
                  <c:v>2407.9009999999998</c:v>
                </c:pt>
                <c:pt idx="11">
                  <c:v>2894.7460000000001</c:v>
                </c:pt>
                <c:pt idx="12">
                  <c:v>3787.922</c:v>
                </c:pt>
                <c:pt idx="13">
                  <c:v>3165.6454000000003</c:v>
                </c:pt>
                <c:pt idx="14">
                  <c:v>3164.3580000000002</c:v>
                </c:pt>
                <c:pt idx="15">
                  <c:v>2292.473</c:v>
                </c:pt>
                <c:pt idx="16">
                  <c:v>2136.8270000000002</c:v>
                </c:pt>
                <c:pt idx="17">
                  <c:v>2311.36</c:v>
                </c:pt>
                <c:pt idx="18">
                  <c:v>2563.6369999999997</c:v>
                </c:pt>
                <c:pt idx="19">
                  <c:v>2375.9346</c:v>
                </c:pt>
                <c:pt idx="20">
                  <c:v>2905.3094999999998</c:v>
                </c:pt>
                <c:pt idx="21">
                  <c:v>2715.9186</c:v>
                </c:pt>
                <c:pt idx="22">
                  <c:v>3362.4469999999997</c:v>
                </c:pt>
              </c:numCache>
            </c:numRef>
          </c:val>
          <c:smooth val="0"/>
          <c:extLst>
            <c:ext xmlns:c16="http://schemas.microsoft.com/office/drawing/2014/chart" uri="{C3380CC4-5D6E-409C-BE32-E72D297353CC}">
              <c16:uniqueId val="{00000006-EE40-4449-849B-747B4167AB81}"/>
            </c:ext>
          </c:extLst>
        </c:ser>
        <c:ser>
          <c:idx val="8"/>
          <c:order val="7"/>
          <c:tx>
            <c:strRef>
              <c:f>ICCAT_Rawdata_ATE_1995_2017!$AA$1</c:f>
              <c:strCache>
                <c:ptCount val="1"/>
                <c:pt idx="0">
                  <c:v>TR</c:v>
                </c:pt>
              </c:strCache>
            </c:strRef>
          </c:tx>
          <c:spPr>
            <a:ln w="38100" cap="rnd">
              <a:solidFill>
                <a:schemeClr val="accent3">
                  <a:lumMod val="60000"/>
                </a:schemeClr>
              </a:solidFill>
              <a:round/>
            </a:ln>
            <a:effectLst/>
          </c:spPr>
          <c:marker>
            <c:symbol val="none"/>
          </c:marker>
          <c:cat>
            <c:numRef>
              <c:f>ICCAT_Rawdata_ATE_1995_2017!$S$2:$S$24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ICCAT_Rawdata_ATE_1995_2017!$AA$2:$AA$24</c:f>
              <c:numCache>
                <c:formatCode>_(* #,##0.00_);_(* \(#,##0.00\);_(* "-"??_);_(@_)</c:formatCode>
                <c:ptCount val="23"/>
                <c:pt idx="0">
                  <c:v>0</c:v>
                </c:pt>
                <c:pt idx="1">
                  <c:v>0</c:v>
                </c:pt>
                <c:pt idx="2">
                  <c:v>0</c:v>
                </c:pt>
                <c:pt idx="3">
                  <c:v>0</c:v>
                </c:pt>
                <c:pt idx="4">
                  <c:v>0</c:v>
                </c:pt>
                <c:pt idx="5">
                  <c:v>2</c:v>
                </c:pt>
                <c:pt idx="6">
                  <c:v>0</c:v>
                </c:pt>
                <c:pt idx="7">
                  <c:v>0</c:v>
                </c:pt>
                <c:pt idx="8">
                  <c:v>0</c:v>
                </c:pt>
                <c:pt idx="9">
                  <c:v>0</c:v>
                </c:pt>
                <c:pt idx="10">
                  <c:v>0</c:v>
                </c:pt>
                <c:pt idx="11">
                  <c:v>0</c:v>
                </c:pt>
                <c:pt idx="12">
                  <c:v>0.16</c:v>
                </c:pt>
                <c:pt idx="13">
                  <c:v>0</c:v>
                </c:pt>
                <c:pt idx="14">
                  <c:v>0</c:v>
                </c:pt>
                <c:pt idx="15">
                  <c:v>0</c:v>
                </c:pt>
                <c:pt idx="16">
                  <c:v>0</c:v>
                </c:pt>
                <c:pt idx="17">
                  <c:v>0</c:v>
                </c:pt>
                <c:pt idx="18">
                  <c:v>3.1159999999999997</c:v>
                </c:pt>
                <c:pt idx="19">
                  <c:v>64.685249999999996</c:v>
                </c:pt>
                <c:pt idx="20">
                  <c:v>2.2959999999999998</c:v>
                </c:pt>
                <c:pt idx="21">
                  <c:v>8.7082899999999999</c:v>
                </c:pt>
                <c:pt idx="22">
                  <c:v>0</c:v>
                </c:pt>
              </c:numCache>
            </c:numRef>
          </c:val>
          <c:smooth val="0"/>
          <c:extLst>
            <c:ext xmlns:c16="http://schemas.microsoft.com/office/drawing/2014/chart" uri="{C3380CC4-5D6E-409C-BE32-E72D297353CC}">
              <c16:uniqueId val="{00000007-EE40-4449-849B-747B4167AB81}"/>
            </c:ext>
          </c:extLst>
        </c:ser>
        <c:dLbls>
          <c:showLegendKey val="0"/>
          <c:showVal val="0"/>
          <c:showCatName val="0"/>
          <c:showSerName val="0"/>
          <c:showPercent val="0"/>
          <c:showBubbleSize val="0"/>
        </c:dLbls>
        <c:smooth val="0"/>
        <c:axId val="629232048"/>
        <c:axId val="629232376"/>
      </c:lineChart>
      <c:catAx>
        <c:axId val="62923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629232376"/>
        <c:crosses val="autoZero"/>
        <c:auto val="1"/>
        <c:lblAlgn val="ctr"/>
        <c:lblOffset val="100"/>
        <c:noMultiLvlLbl val="0"/>
      </c:catAx>
      <c:valAx>
        <c:axId val="629232376"/>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TOnnes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232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Yearly Total catch-East</a:t>
            </a:r>
            <a:r>
              <a:rPr lang="en-US" baseline="0"/>
              <a:t> Atlantic</a:t>
            </a:r>
          </a:p>
          <a:p>
            <a:pPr>
              <a:defRPr/>
            </a:pPr>
            <a:r>
              <a:rPr lang="en-US" baseline="0"/>
              <a:t>1995-2017</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ICCAT_Rawdata_ATE_1995_2017!$AB$1</c:f>
              <c:strCache>
                <c:ptCount val="1"/>
                <c:pt idx="0">
                  <c:v>Yearly Total catch</c:v>
                </c:pt>
              </c:strCache>
            </c:strRef>
          </c:tx>
          <c:spPr>
            <a:solidFill>
              <a:schemeClr val="tx1"/>
            </a:solidFill>
            <a:ln>
              <a:noFill/>
            </a:ln>
            <a:effectLst/>
          </c:spPr>
          <c:invertIfNegative val="0"/>
          <c:cat>
            <c:strRef>
              <c:f>ICCAT_Rawdata_ATE_1995_2017!$S$2:$S$25</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Total</c:v>
                </c:pt>
              </c:strCache>
            </c:strRef>
          </c:cat>
          <c:val>
            <c:numRef>
              <c:f>ICCAT_Rawdata_ATE_1995_2017!$AB$2:$AB$24</c:f>
              <c:numCache>
                <c:formatCode>_(* #,##0.00_);_(* \(#,##0.00\);_(* "-"??_);_(@_)</c:formatCode>
                <c:ptCount val="23"/>
                <c:pt idx="0">
                  <c:v>9855.0290299999997</c:v>
                </c:pt>
                <c:pt idx="1">
                  <c:v>12098.027040000001</c:v>
                </c:pt>
                <c:pt idx="2">
                  <c:v>16304.33497</c:v>
                </c:pt>
                <c:pt idx="3">
                  <c:v>11925.712009999999</c:v>
                </c:pt>
                <c:pt idx="4">
                  <c:v>10537.50304</c:v>
                </c:pt>
                <c:pt idx="5">
                  <c:v>10258.913049999999</c:v>
                </c:pt>
                <c:pt idx="6">
                  <c:v>10086.351000000001</c:v>
                </c:pt>
                <c:pt idx="7">
                  <c:v>10346.53435</c:v>
                </c:pt>
                <c:pt idx="8">
                  <c:v>7394.2590199999995</c:v>
                </c:pt>
                <c:pt idx="9">
                  <c:v>7401.4319899999991</c:v>
                </c:pt>
                <c:pt idx="10">
                  <c:v>9023.121000000001</c:v>
                </c:pt>
                <c:pt idx="11">
                  <c:v>7528.8890100000017</c:v>
                </c:pt>
                <c:pt idx="12">
                  <c:v>8441.1538299999993</c:v>
                </c:pt>
                <c:pt idx="13">
                  <c:v>8243.0004000000008</c:v>
                </c:pt>
                <c:pt idx="14">
                  <c:v>6684.4776899999997</c:v>
                </c:pt>
                <c:pt idx="15">
                  <c:v>4378.9037799999996</c:v>
                </c:pt>
                <c:pt idx="16">
                  <c:v>3983.8282900000004</c:v>
                </c:pt>
                <c:pt idx="17">
                  <c:v>3834.0113800000008</c:v>
                </c:pt>
                <c:pt idx="18">
                  <c:v>4162.4263199999996</c:v>
                </c:pt>
                <c:pt idx="19">
                  <c:v>3917.5407500000001</c:v>
                </c:pt>
                <c:pt idx="20">
                  <c:v>4841.1203400000004</c:v>
                </c:pt>
                <c:pt idx="21">
                  <c:v>5967.9345700000003</c:v>
                </c:pt>
                <c:pt idx="22">
                  <c:v>7168.5842799999991</c:v>
                </c:pt>
              </c:numCache>
            </c:numRef>
          </c:val>
          <c:extLst>
            <c:ext xmlns:c16="http://schemas.microsoft.com/office/drawing/2014/chart" uri="{C3380CC4-5D6E-409C-BE32-E72D297353CC}">
              <c16:uniqueId val="{00000000-5257-42E2-9395-ECF3BF97DDEA}"/>
            </c:ext>
          </c:extLst>
        </c:ser>
        <c:dLbls>
          <c:showLegendKey val="0"/>
          <c:showVal val="0"/>
          <c:showCatName val="0"/>
          <c:showSerName val="0"/>
          <c:showPercent val="0"/>
          <c:showBubbleSize val="0"/>
        </c:dLbls>
        <c:gapWidth val="150"/>
        <c:axId val="619532616"/>
        <c:axId val="619533600"/>
      </c:barChart>
      <c:catAx>
        <c:axId val="61953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533600"/>
        <c:crosses val="autoZero"/>
        <c:auto val="1"/>
        <c:lblAlgn val="ctr"/>
        <c:lblOffset val="100"/>
        <c:noMultiLvlLbl val="0"/>
      </c:catAx>
      <c:valAx>
        <c:axId val="619533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Tonnes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532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 catch per country-East</a:t>
            </a:r>
            <a:r>
              <a:rPr lang="en-GB" baseline="0"/>
              <a:t> Atlantic</a:t>
            </a:r>
            <a:endParaRPr lang="en-GB"/>
          </a:p>
          <a:p>
            <a:pPr>
              <a:defRPr/>
            </a:pPr>
            <a:r>
              <a:rPr lang="en-GB"/>
              <a:t>1995-2017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ICCAT_country_ATE!$U$2</c:f>
              <c:strCache>
                <c:ptCount val="1"/>
                <c:pt idx="0">
                  <c:v>Total catch </c:v>
                </c:pt>
              </c:strCache>
            </c:strRef>
          </c:tx>
          <c:spPr>
            <a:solidFill>
              <a:schemeClr val="tx1"/>
            </a:solidFill>
            <a:ln>
              <a:noFill/>
            </a:ln>
            <a:effectLst/>
          </c:spPr>
          <c:invertIfNegative val="0"/>
          <c:cat>
            <c:strRef>
              <c:f>ICCAT_country_ATE!$T$3:$T$19</c:f>
              <c:strCache>
                <c:ptCount val="17"/>
                <c:pt idx="0">
                  <c:v>China</c:v>
                </c:pt>
                <c:pt idx="1">
                  <c:v>Taipei</c:v>
                </c:pt>
                <c:pt idx="2">
                  <c:v>Denmark</c:v>
                </c:pt>
                <c:pt idx="3">
                  <c:v>Iceland</c:v>
                </c:pt>
                <c:pt idx="4">
                  <c:v>Norway</c:v>
                </c:pt>
                <c:pt idx="5">
                  <c:v>EU</c:v>
                </c:pt>
                <c:pt idx="6">
                  <c:v>Faroe Islands</c:v>
                </c:pt>
                <c:pt idx="7">
                  <c:v>Guinea Ecuatorial</c:v>
                </c:pt>
                <c:pt idx="8">
                  <c:v>Iccat</c:v>
                </c:pt>
                <c:pt idx="9">
                  <c:v>Japan</c:v>
                </c:pt>
                <c:pt idx="10">
                  <c:v>Korean Republic</c:v>
                </c:pt>
                <c:pt idx="11">
                  <c:v>Morocco</c:v>
                </c:pt>
                <c:pt idx="12">
                  <c:v>Panama</c:v>
                </c:pt>
                <c:pt idx="13">
                  <c:v>Senegal</c:v>
                </c:pt>
                <c:pt idx="14">
                  <c:v>Seychell</c:v>
                </c:pt>
                <c:pt idx="15">
                  <c:v>Sierra Leone</c:v>
                </c:pt>
                <c:pt idx="16">
                  <c:v>NEI</c:v>
                </c:pt>
              </c:strCache>
            </c:strRef>
          </c:cat>
          <c:val>
            <c:numRef>
              <c:f>ICCAT_country_ATE!$U$3:$U$19</c:f>
              <c:numCache>
                <c:formatCode>_(* #,##0.00_);_(* \(#,##0.00\);_(* "-"??_);_(@_)</c:formatCode>
                <c:ptCount val="17"/>
                <c:pt idx="0">
                  <c:v>1082.26468</c:v>
                </c:pt>
                <c:pt idx="1">
                  <c:v>1482.6700200000012</c:v>
                </c:pt>
                <c:pt idx="2">
                  <c:v>1.9500000000000002</c:v>
                </c:pt>
                <c:pt idx="3">
                  <c:v>114.68600000000006</c:v>
                </c:pt>
                <c:pt idx="4">
                  <c:v>107.91966000000001</c:v>
                </c:pt>
                <c:pt idx="5">
                  <c:v>90440.573530000038</c:v>
                </c:pt>
                <c:pt idx="6">
                  <c:v>289</c:v>
                </c:pt>
                <c:pt idx="7">
                  <c:v>1.26</c:v>
                </c:pt>
                <c:pt idx="8">
                  <c:v>1.33588</c:v>
                </c:pt>
                <c:pt idx="9">
                  <c:v>49503.115339999968</c:v>
                </c:pt>
                <c:pt idx="10">
                  <c:v>806.98099000000013</c:v>
                </c:pt>
                <c:pt idx="11">
                  <c:v>38961.831999999995</c:v>
                </c:pt>
                <c:pt idx="12">
                  <c:v>837.00002999999981</c:v>
                </c:pt>
                <c:pt idx="13">
                  <c:v>5.9</c:v>
                </c:pt>
                <c:pt idx="14">
                  <c:v>1.6349999999999998</c:v>
                </c:pt>
                <c:pt idx="15">
                  <c:v>210.964</c:v>
                </c:pt>
                <c:pt idx="16">
                  <c:v>534.00000999999997</c:v>
                </c:pt>
              </c:numCache>
            </c:numRef>
          </c:val>
          <c:extLst>
            <c:ext xmlns:c16="http://schemas.microsoft.com/office/drawing/2014/chart" uri="{C3380CC4-5D6E-409C-BE32-E72D297353CC}">
              <c16:uniqueId val="{00000000-3C1C-4E72-8222-A81ADBB018A7}"/>
            </c:ext>
          </c:extLst>
        </c:ser>
        <c:dLbls>
          <c:showLegendKey val="0"/>
          <c:showVal val="0"/>
          <c:showCatName val="0"/>
          <c:showSerName val="0"/>
          <c:showPercent val="0"/>
          <c:showBubbleSize val="0"/>
        </c:dLbls>
        <c:gapWidth val="150"/>
        <c:axId val="564186440"/>
        <c:axId val="564180864"/>
      </c:barChart>
      <c:catAx>
        <c:axId val="564186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180864"/>
        <c:crosses val="autoZero"/>
        <c:auto val="1"/>
        <c:lblAlgn val="ctr"/>
        <c:lblOffset val="100"/>
        <c:noMultiLvlLbl val="0"/>
      </c:catAx>
      <c:valAx>
        <c:axId val="564180864"/>
        <c:scaling>
          <c:orientation val="minMax"/>
        </c:scaling>
        <c:delete val="0"/>
        <c:axPos val="l"/>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186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200"/>
              <a:t>Catch based on gear type-West Atlantic</a:t>
            </a:r>
          </a:p>
          <a:p>
            <a:pPr>
              <a:defRPr/>
            </a:pPr>
            <a:r>
              <a:rPr lang="en-US" sz="1200"/>
              <a:t> 1995-2017</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1"/>
          <c:order val="0"/>
          <c:tx>
            <c:strRef>
              <c:f>ICCAT_Rawdata_ATW_1995_2017!$U$1</c:f>
              <c:strCache>
                <c:ptCount val="1"/>
                <c:pt idx="0">
                  <c:v>HL</c:v>
                </c:pt>
              </c:strCache>
            </c:strRef>
          </c:tx>
          <c:spPr>
            <a:ln w="38100" cap="rnd">
              <a:solidFill>
                <a:schemeClr val="accent2"/>
              </a:solidFill>
              <a:round/>
            </a:ln>
            <a:effectLst/>
          </c:spPr>
          <c:marker>
            <c:symbol val="none"/>
          </c:marker>
          <c:cat>
            <c:numRef>
              <c:f>ICCAT_Rawdata_ATW_1995_2017!$T$2:$T$24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ICCAT_Rawdata_ATW_1995_2017!$U$2:$U$24</c:f>
              <c:numCache>
                <c:formatCode>General</c:formatCode>
                <c:ptCount val="23"/>
                <c:pt idx="0">
                  <c:v>75.00003000000001</c:v>
                </c:pt>
                <c:pt idx="1">
                  <c:v>35.999979999999979</c:v>
                </c:pt>
                <c:pt idx="2">
                  <c:v>16.999970000000001</c:v>
                </c:pt>
                <c:pt idx="3">
                  <c:v>28.999990000000004</c:v>
                </c:pt>
                <c:pt idx="4">
                  <c:v>15.000030000000001</c:v>
                </c:pt>
                <c:pt idx="5">
                  <c:v>3.2000100000000002</c:v>
                </c:pt>
                <c:pt idx="6">
                  <c:v>9.0000099999999996</c:v>
                </c:pt>
                <c:pt idx="7">
                  <c:v>4.4900100000000007</c:v>
                </c:pt>
                <c:pt idx="8">
                  <c:v>0</c:v>
                </c:pt>
                <c:pt idx="9">
                  <c:v>1.4850199999999993</c:v>
                </c:pt>
                <c:pt idx="10">
                  <c:v>2.2820000000000005</c:v>
                </c:pt>
                <c:pt idx="11">
                  <c:v>0.30900000000000005</c:v>
                </c:pt>
                <c:pt idx="12">
                  <c:v>0</c:v>
                </c:pt>
                <c:pt idx="13">
                  <c:v>0.55520000000000003</c:v>
                </c:pt>
                <c:pt idx="15">
                  <c:v>2.6766800000000002</c:v>
                </c:pt>
                <c:pt idx="16">
                  <c:v>0.86599999999999999</c:v>
                </c:pt>
                <c:pt idx="17">
                  <c:v>1.3129999999999999</c:v>
                </c:pt>
                <c:pt idx="18">
                  <c:v>0</c:v>
                </c:pt>
                <c:pt idx="19">
                  <c:v>0</c:v>
                </c:pt>
                <c:pt idx="20">
                  <c:v>1.736</c:v>
                </c:pt>
                <c:pt idx="21">
                  <c:v>14.23204</c:v>
                </c:pt>
                <c:pt idx="22">
                  <c:v>5.0430100000000007</c:v>
                </c:pt>
              </c:numCache>
            </c:numRef>
          </c:val>
          <c:smooth val="0"/>
          <c:extLst>
            <c:ext xmlns:c16="http://schemas.microsoft.com/office/drawing/2014/chart" uri="{C3380CC4-5D6E-409C-BE32-E72D297353CC}">
              <c16:uniqueId val="{00000000-7B49-4886-B12E-46BFA50E3C93}"/>
            </c:ext>
          </c:extLst>
        </c:ser>
        <c:ser>
          <c:idx val="2"/>
          <c:order val="1"/>
          <c:tx>
            <c:strRef>
              <c:f>ICCAT_Rawdata_ATW_1995_2017!$V$1</c:f>
              <c:strCache>
                <c:ptCount val="1"/>
                <c:pt idx="0">
                  <c:v>LL</c:v>
                </c:pt>
              </c:strCache>
            </c:strRef>
          </c:tx>
          <c:spPr>
            <a:ln w="38100" cap="rnd">
              <a:solidFill>
                <a:schemeClr val="accent3"/>
              </a:solidFill>
              <a:round/>
            </a:ln>
            <a:effectLst/>
          </c:spPr>
          <c:marker>
            <c:symbol val="none"/>
          </c:marker>
          <c:cat>
            <c:numRef>
              <c:f>ICCAT_Rawdata_ATW_1995_2017!$T$2:$T$24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ICCAT_Rawdata_ATW_1995_2017!$V$2:$V$24</c:f>
              <c:numCache>
                <c:formatCode>General</c:formatCode>
                <c:ptCount val="23"/>
                <c:pt idx="0">
                  <c:v>628.95002999999997</c:v>
                </c:pt>
                <c:pt idx="1">
                  <c:v>711.60001999999963</c:v>
                </c:pt>
                <c:pt idx="2">
                  <c:v>537.00003000000027</c:v>
                </c:pt>
                <c:pt idx="3">
                  <c:v>887.00001999999995</c:v>
                </c:pt>
                <c:pt idx="4">
                  <c:v>1075.4829799999998</c:v>
                </c:pt>
                <c:pt idx="5">
                  <c:v>1079.5339999999997</c:v>
                </c:pt>
                <c:pt idx="6">
                  <c:v>714.74899999999957</c:v>
                </c:pt>
                <c:pt idx="7">
                  <c:v>940.03797999999995</c:v>
                </c:pt>
                <c:pt idx="8">
                  <c:v>418.10299000000015</c:v>
                </c:pt>
                <c:pt idx="9">
                  <c:v>824.81001999999989</c:v>
                </c:pt>
                <c:pt idx="10">
                  <c:v>556.1870100000001</c:v>
                </c:pt>
                <c:pt idx="11">
                  <c:v>714.42298000000017</c:v>
                </c:pt>
                <c:pt idx="12">
                  <c:v>520.08715000000007</c:v>
                </c:pt>
                <c:pt idx="13">
                  <c:v>764.86026000000038</c:v>
                </c:pt>
                <c:pt idx="14">
                  <c:v>573.46814999999981</c:v>
                </c:pt>
                <c:pt idx="15">
                  <c:v>703.07713000000024</c:v>
                </c:pt>
                <c:pt idx="16">
                  <c:v>945.4350900000004</c:v>
                </c:pt>
                <c:pt idx="17">
                  <c:v>701.7129900000001</c:v>
                </c:pt>
                <c:pt idx="18">
                  <c:v>614.8649300000003</c:v>
                </c:pt>
                <c:pt idx="19">
                  <c:v>636.27040999999974</c:v>
                </c:pt>
                <c:pt idx="20">
                  <c:v>572.08996000000036</c:v>
                </c:pt>
                <c:pt idx="21">
                  <c:v>591.22183000000018</c:v>
                </c:pt>
                <c:pt idx="22">
                  <c:v>615.12254000000019</c:v>
                </c:pt>
              </c:numCache>
            </c:numRef>
          </c:val>
          <c:smooth val="0"/>
          <c:extLst>
            <c:ext xmlns:c16="http://schemas.microsoft.com/office/drawing/2014/chart" uri="{C3380CC4-5D6E-409C-BE32-E72D297353CC}">
              <c16:uniqueId val="{00000001-7B49-4886-B12E-46BFA50E3C93}"/>
            </c:ext>
          </c:extLst>
        </c:ser>
        <c:ser>
          <c:idx val="3"/>
          <c:order val="2"/>
          <c:tx>
            <c:strRef>
              <c:f>ICCAT_Rawdata_ATW_1995_2017!$W$1</c:f>
              <c:strCache>
                <c:ptCount val="1"/>
                <c:pt idx="0">
                  <c:v>other</c:v>
                </c:pt>
              </c:strCache>
            </c:strRef>
          </c:tx>
          <c:spPr>
            <a:ln w="38100" cap="rnd">
              <a:solidFill>
                <a:schemeClr val="accent4"/>
              </a:solidFill>
              <a:round/>
            </a:ln>
            <a:effectLst/>
          </c:spPr>
          <c:marker>
            <c:symbol val="none"/>
          </c:marker>
          <c:cat>
            <c:numRef>
              <c:f>ICCAT_Rawdata_ATW_1995_2017!$T$2:$T$24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ICCAT_Rawdata_ATW_1995_2017!$W$2:$W$24</c:f>
              <c:numCache>
                <c:formatCode>General</c:formatCode>
                <c:ptCount val="23"/>
                <c:pt idx="0">
                  <c:v>383.99999999999994</c:v>
                </c:pt>
                <c:pt idx="1">
                  <c:v>432.99998999999997</c:v>
                </c:pt>
                <c:pt idx="2">
                  <c:v>293</c:v>
                </c:pt>
                <c:pt idx="3">
                  <c:v>342</c:v>
                </c:pt>
                <c:pt idx="4">
                  <c:v>278.98100000000005</c:v>
                </c:pt>
                <c:pt idx="5">
                  <c:v>283.37799999999993</c:v>
                </c:pt>
                <c:pt idx="6">
                  <c:v>201.29500000000002</c:v>
                </c:pt>
                <c:pt idx="7">
                  <c:v>107.044</c:v>
                </c:pt>
                <c:pt idx="8">
                  <c:v>139.34900000000002</c:v>
                </c:pt>
                <c:pt idx="9">
                  <c:v>97.125</c:v>
                </c:pt>
                <c:pt idx="10">
                  <c:v>89.067000000000036</c:v>
                </c:pt>
                <c:pt idx="11">
                  <c:v>85.28700000000002</c:v>
                </c:pt>
                <c:pt idx="12">
                  <c:v>63.052989999999994</c:v>
                </c:pt>
                <c:pt idx="13">
                  <c:v>77.926220000000015</c:v>
                </c:pt>
                <c:pt idx="14">
                  <c:v>120.66837999999998</c:v>
                </c:pt>
                <c:pt idx="15">
                  <c:v>106.68374000000001</c:v>
                </c:pt>
                <c:pt idx="16">
                  <c:v>131.11399999999998</c:v>
                </c:pt>
                <c:pt idx="17">
                  <c:v>117.26201999999999</c:v>
                </c:pt>
                <c:pt idx="18">
                  <c:v>121.33101999999991</c:v>
                </c:pt>
                <c:pt idx="19">
                  <c:v>119.06532</c:v>
                </c:pt>
                <c:pt idx="20">
                  <c:v>138.83385000000007</c:v>
                </c:pt>
                <c:pt idx="21">
                  <c:v>95.871190000000013</c:v>
                </c:pt>
                <c:pt idx="22">
                  <c:v>123.65750999999997</c:v>
                </c:pt>
              </c:numCache>
            </c:numRef>
          </c:val>
          <c:smooth val="0"/>
          <c:extLst>
            <c:ext xmlns:c16="http://schemas.microsoft.com/office/drawing/2014/chart" uri="{C3380CC4-5D6E-409C-BE32-E72D297353CC}">
              <c16:uniqueId val="{00000002-7B49-4886-B12E-46BFA50E3C93}"/>
            </c:ext>
          </c:extLst>
        </c:ser>
        <c:ser>
          <c:idx val="4"/>
          <c:order val="3"/>
          <c:tx>
            <c:strRef>
              <c:f>ICCAT_Rawdata_ATW_1995_2017!$X$1</c:f>
              <c:strCache>
                <c:ptCount val="1"/>
                <c:pt idx="0">
                  <c:v>PS</c:v>
                </c:pt>
              </c:strCache>
            </c:strRef>
          </c:tx>
          <c:spPr>
            <a:ln w="38100" cap="rnd">
              <a:solidFill>
                <a:schemeClr val="accent5"/>
              </a:solidFill>
              <a:round/>
            </a:ln>
            <a:effectLst/>
          </c:spPr>
          <c:marker>
            <c:symbol val="none"/>
          </c:marker>
          <c:cat>
            <c:numRef>
              <c:f>ICCAT_Rawdata_ATW_1995_2017!$T$2:$T$24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ICCAT_Rawdata_ATW_1995_2017!$X$2:$X$24</c:f>
              <c:numCache>
                <c:formatCode>General</c:formatCode>
                <c:ptCount val="23"/>
                <c:pt idx="0">
                  <c:v>249</c:v>
                </c:pt>
                <c:pt idx="1">
                  <c:v>245</c:v>
                </c:pt>
                <c:pt idx="2">
                  <c:v>250</c:v>
                </c:pt>
                <c:pt idx="3">
                  <c:v>249</c:v>
                </c:pt>
                <c:pt idx="4">
                  <c:v>248</c:v>
                </c:pt>
                <c:pt idx="5">
                  <c:v>275.2</c:v>
                </c:pt>
                <c:pt idx="6">
                  <c:v>195.9</c:v>
                </c:pt>
                <c:pt idx="7">
                  <c:v>207.74</c:v>
                </c:pt>
                <c:pt idx="8">
                  <c:v>265.42</c:v>
                </c:pt>
                <c:pt idx="9">
                  <c:v>31.786000000000001</c:v>
                </c:pt>
                <c:pt idx="10">
                  <c:v>178.28299999999999</c:v>
                </c:pt>
                <c:pt idx="11">
                  <c:v>3.5939999999999999</c:v>
                </c:pt>
                <c:pt idx="12">
                  <c:v>27.948</c:v>
                </c:pt>
                <c:pt idx="13">
                  <c:v>0</c:v>
                </c:pt>
                <c:pt idx="14">
                  <c:v>11.439739999999999</c:v>
                </c:pt>
                <c:pt idx="15">
                  <c:v>0</c:v>
                </c:pt>
                <c:pt idx="16">
                  <c:v>0</c:v>
                </c:pt>
                <c:pt idx="17">
                  <c:v>1.6779999999999999</c:v>
                </c:pt>
                <c:pt idx="18">
                  <c:v>42.541029999999985</c:v>
                </c:pt>
                <c:pt idx="19">
                  <c:v>41.839999999999996</c:v>
                </c:pt>
                <c:pt idx="20">
                  <c:v>38.848980000000005</c:v>
                </c:pt>
                <c:pt idx="21">
                  <c:v>0</c:v>
                </c:pt>
                <c:pt idx="22">
                  <c:v>0</c:v>
                </c:pt>
              </c:numCache>
            </c:numRef>
          </c:val>
          <c:smooth val="0"/>
          <c:extLst>
            <c:ext xmlns:c16="http://schemas.microsoft.com/office/drawing/2014/chart" uri="{C3380CC4-5D6E-409C-BE32-E72D297353CC}">
              <c16:uniqueId val="{00000003-7B49-4886-B12E-46BFA50E3C93}"/>
            </c:ext>
          </c:extLst>
        </c:ser>
        <c:ser>
          <c:idx val="5"/>
          <c:order val="4"/>
          <c:tx>
            <c:strRef>
              <c:f>ICCAT_Rawdata_ATW_1995_2017!$Y$1</c:f>
              <c:strCache>
                <c:ptCount val="1"/>
                <c:pt idx="0">
                  <c:v>RR</c:v>
                </c:pt>
              </c:strCache>
            </c:strRef>
          </c:tx>
          <c:spPr>
            <a:ln w="38100" cap="rnd">
              <a:solidFill>
                <a:schemeClr val="accent6"/>
              </a:solidFill>
              <a:round/>
            </a:ln>
            <a:effectLst/>
          </c:spPr>
          <c:marker>
            <c:symbol val="none"/>
          </c:marker>
          <c:cat>
            <c:numRef>
              <c:f>ICCAT_Rawdata_ATW_1995_2017!$T$2:$T$24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ICCAT_Rawdata_ATW_1995_2017!$Y$2:$Y$24</c:f>
              <c:numCache>
                <c:formatCode>General</c:formatCode>
                <c:ptCount val="23"/>
                <c:pt idx="0">
                  <c:v>1039.0000100000002</c:v>
                </c:pt>
                <c:pt idx="1">
                  <c:v>996.00000999999997</c:v>
                </c:pt>
                <c:pt idx="2">
                  <c:v>1178.29999</c:v>
                </c:pt>
                <c:pt idx="3">
                  <c:v>1081.9999899999998</c:v>
                </c:pt>
                <c:pt idx="4">
                  <c:v>1109.7919899999999</c:v>
                </c:pt>
                <c:pt idx="5">
                  <c:v>1117.4670100000003</c:v>
                </c:pt>
                <c:pt idx="6">
                  <c:v>1647.6689999999999</c:v>
                </c:pt>
                <c:pt idx="7">
                  <c:v>2031.1229900000001</c:v>
                </c:pt>
                <c:pt idx="8">
                  <c:v>1398.5140099999999</c:v>
                </c:pt>
                <c:pt idx="9">
                  <c:v>1137.3039899999999</c:v>
                </c:pt>
                <c:pt idx="10">
                  <c:v>922.20600999999988</c:v>
                </c:pt>
                <c:pt idx="11">
                  <c:v>1004.825</c:v>
                </c:pt>
                <c:pt idx="12">
                  <c:v>1022.8839899999999</c:v>
                </c:pt>
                <c:pt idx="13">
                  <c:v>1133.3632500000001</c:v>
                </c:pt>
                <c:pt idx="14">
                  <c:v>1250.4890799999996</c:v>
                </c:pt>
                <c:pt idx="15">
                  <c:v>1006.1981399999999</c:v>
                </c:pt>
                <c:pt idx="16">
                  <c:v>886.73757000000001</c:v>
                </c:pt>
                <c:pt idx="17">
                  <c:v>915.38499999999954</c:v>
                </c:pt>
                <c:pt idx="18">
                  <c:v>690.81033999999988</c:v>
                </c:pt>
                <c:pt idx="19">
                  <c:v>809.68290999999999</c:v>
                </c:pt>
                <c:pt idx="20">
                  <c:v>1083.5956700000004</c:v>
                </c:pt>
                <c:pt idx="21">
                  <c:v>1190.0207100000002</c:v>
                </c:pt>
                <c:pt idx="22">
                  <c:v>1138.7689999999998</c:v>
                </c:pt>
              </c:numCache>
            </c:numRef>
          </c:val>
          <c:smooth val="0"/>
          <c:extLst>
            <c:ext xmlns:c16="http://schemas.microsoft.com/office/drawing/2014/chart" uri="{C3380CC4-5D6E-409C-BE32-E72D297353CC}">
              <c16:uniqueId val="{00000004-7B49-4886-B12E-46BFA50E3C93}"/>
            </c:ext>
          </c:extLst>
        </c:ser>
        <c:ser>
          <c:idx val="6"/>
          <c:order val="5"/>
          <c:tx>
            <c:strRef>
              <c:f>ICCAT_Rawdata_ATW_1995_2017!$Z$1</c:f>
              <c:strCache>
                <c:ptCount val="1"/>
                <c:pt idx="0">
                  <c:v>TP</c:v>
                </c:pt>
              </c:strCache>
            </c:strRef>
          </c:tx>
          <c:spPr>
            <a:ln w="38100" cap="rnd">
              <a:solidFill>
                <a:schemeClr val="accent1">
                  <a:lumMod val="60000"/>
                </a:schemeClr>
              </a:solidFill>
              <a:round/>
            </a:ln>
            <a:effectLst/>
          </c:spPr>
          <c:marker>
            <c:symbol val="none"/>
          </c:marker>
          <c:cat>
            <c:numRef>
              <c:f>ICCAT_Rawdata_ATW_1995_2017!$T$2:$T$24</c:f>
              <c:numCache>
                <c:formatCode>General</c:formatCod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ICCAT_Rawdata_ATW_1995_2017!$Z$2:$Z$24</c:f>
              <c:numCache>
                <c:formatCode>General</c:formatCode>
                <c:ptCount val="23"/>
                <c:pt idx="0">
                  <c:v>72</c:v>
                </c:pt>
                <c:pt idx="1">
                  <c:v>90</c:v>
                </c:pt>
                <c:pt idx="2">
                  <c:v>59</c:v>
                </c:pt>
                <c:pt idx="3">
                  <c:v>68</c:v>
                </c:pt>
                <c:pt idx="4">
                  <c:v>44.493000000000002</c:v>
                </c:pt>
                <c:pt idx="5">
                  <c:v>16.052</c:v>
                </c:pt>
                <c:pt idx="6">
                  <c:v>15.786</c:v>
                </c:pt>
                <c:pt idx="7">
                  <c:v>28.129000000000001</c:v>
                </c:pt>
                <c:pt idx="8">
                  <c:v>83.990000000000009</c:v>
                </c:pt>
                <c:pt idx="9">
                  <c:v>32.027999999999999</c:v>
                </c:pt>
                <c:pt idx="10">
                  <c:v>8.4340000000000011</c:v>
                </c:pt>
                <c:pt idx="11">
                  <c:v>2.9979999999999998</c:v>
                </c:pt>
                <c:pt idx="12">
                  <c:v>3.5910000000000002</c:v>
                </c:pt>
                <c:pt idx="13">
                  <c:v>23.004999999999999</c:v>
                </c:pt>
                <c:pt idx="14">
                  <c:v>23.463000000000001</c:v>
                </c:pt>
                <c:pt idx="15">
                  <c:v>38.786999999999999</c:v>
                </c:pt>
                <c:pt idx="16">
                  <c:v>42.605000000000004</c:v>
                </c:pt>
                <c:pt idx="17">
                  <c:v>16.574999999999999</c:v>
                </c:pt>
                <c:pt idx="18">
                  <c:v>11.372</c:v>
                </c:pt>
                <c:pt idx="19">
                  <c:v>19.544</c:v>
                </c:pt>
                <c:pt idx="20">
                  <c:v>6.4728000000000003</c:v>
                </c:pt>
                <c:pt idx="21">
                  <c:v>9.5175999999999998</c:v>
                </c:pt>
                <c:pt idx="22">
                  <c:v>12.627230000000001</c:v>
                </c:pt>
              </c:numCache>
            </c:numRef>
          </c:val>
          <c:smooth val="0"/>
          <c:extLst>
            <c:ext xmlns:c16="http://schemas.microsoft.com/office/drawing/2014/chart" uri="{C3380CC4-5D6E-409C-BE32-E72D297353CC}">
              <c16:uniqueId val="{00000005-7B49-4886-B12E-46BFA50E3C93}"/>
            </c:ext>
          </c:extLst>
        </c:ser>
        <c:dLbls>
          <c:showLegendKey val="0"/>
          <c:showVal val="0"/>
          <c:showCatName val="0"/>
          <c:showSerName val="0"/>
          <c:showPercent val="0"/>
          <c:showBubbleSize val="0"/>
        </c:dLbls>
        <c:smooth val="0"/>
        <c:axId val="632209464"/>
        <c:axId val="632210448"/>
      </c:lineChart>
      <c:catAx>
        <c:axId val="63220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632210448"/>
        <c:crosses val="autoZero"/>
        <c:auto val="1"/>
        <c:lblAlgn val="ctr"/>
        <c:lblOffset val="100"/>
        <c:noMultiLvlLbl val="0"/>
      </c:catAx>
      <c:valAx>
        <c:axId val="632210448"/>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tONNes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209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yearly catch-West</a:t>
            </a:r>
            <a:r>
              <a:rPr lang="en-US" baseline="0"/>
              <a:t> Atlantic</a:t>
            </a:r>
          </a:p>
          <a:p>
            <a:pPr>
              <a:defRPr/>
            </a:pPr>
            <a:r>
              <a:rPr lang="en-US" baseline="0"/>
              <a:t>1995-2017</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ICCAT_Rawdata_ATW_1995_2017!$AA$1</c:f>
              <c:strCache>
                <c:ptCount val="1"/>
                <c:pt idx="0">
                  <c:v>Total catch</c:v>
                </c:pt>
              </c:strCache>
            </c:strRef>
          </c:tx>
          <c:spPr>
            <a:solidFill>
              <a:schemeClr val="tx1"/>
            </a:solidFill>
            <a:ln>
              <a:noFill/>
            </a:ln>
            <a:effectLst/>
          </c:spPr>
          <c:invertIfNegative val="0"/>
          <c:cat>
            <c:numRef>
              <c:f>ICCAT_Rawdata_ATW_1995_2017!$T$2:$T$25</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numCache>
            </c:numRef>
          </c:cat>
          <c:val>
            <c:numRef>
              <c:f>ICCAT_Rawdata_ATW_1995_2017!$AA$2:$AA$24</c:f>
              <c:numCache>
                <c:formatCode>General</c:formatCode>
                <c:ptCount val="23"/>
                <c:pt idx="0">
                  <c:v>2447.9500699999999</c:v>
                </c:pt>
                <c:pt idx="1">
                  <c:v>2511.5999999999995</c:v>
                </c:pt>
                <c:pt idx="2">
                  <c:v>2334.2999900000004</c:v>
                </c:pt>
                <c:pt idx="3">
                  <c:v>2657</c:v>
                </c:pt>
                <c:pt idx="4">
                  <c:v>2771.7489999999993</c:v>
                </c:pt>
                <c:pt idx="5">
                  <c:v>2774.8310200000001</c:v>
                </c:pt>
                <c:pt idx="6">
                  <c:v>2784.3990099999996</c:v>
                </c:pt>
                <c:pt idx="7">
                  <c:v>3318.5639799999999</c:v>
                </c:pt>
                <c:pt idx="8">
                  <c:v>2305.3760000000002</c:v>
                </c:pt>
                <c:pt idx="9">
                  <c:v>2124.5380299999993</c:v>
                </c:pt>
                <c:pt idx="10">
                  <c:v>1756.45902</c:v>
                </c:pt>
                <c:pt idx="11">
                  <c:v>1811.4359800000002</c:v>
                </c:pt>
                <c:pt idx="12">
                  <c:v>1637.56313</c:v>
                </c:pt>
                <c:pt idx="13">
                  <c:v>1999.7099300000007</c:v>
                </c:pt>
                <c:pt idx="14">
                  <c:v>1979.5283499999994</c:v>
                </c:pt>
                <c:pt idx="15">
                  <c:v>1857.4226900000001</c:v>
                </c:pt>
                <c:pt idx="16">
                  <c:v>2006.7576600000004</c:v>
                </c:pt>
                <c:pt idx="17">
                  <c:v>1753.9260099999997</c:v>
                </c:pt>
                <c:pt idx="18">
                  <c:v>1480.9193200000002</c:v>
                </c:pt>
                <c:pt idx="19">
                  <c:v>1626.40264</c:v>
                </c:pt>
                <c:pt idx="20">
                  <c:v>1841.5772600000009</c:v>
                </c:pt>
                <c:pt idx="21">
                  <c:v>1900.8633700000003</c:v>
                </c:pt>
                <c:pt idx="22">
                  <c:v>1895.21929</c:v>
                </c:pt>
              </c:numCache>
            </c:numRef>
          </c:val>
          <c:extLst>
            <c:ext xmlns:c16="http://schemas.microsoft.com/office/drawing/2014/chart" uri="{C3380CC4-5D6E-409C-BE32-E72D297353CC}">
              <c16:uniqueId val="{00000000-70AA-491A-8258-04D4ED12EE8F}"/>
            </c:ext>
          </c:extLst>
        </c:ser>
        <c:dLbls>
          <c:showLegendKey val="0"/>
          <c:showVal val="0"/>
          <c:showCatName val="0"/>
          <c:showSerName val="0"/>
          <c:showPercent val="0"/>
          <c:showBubbleSize val="0"/>
        </c:dLbls>
        <c:gapWidth val="150"/>
        <c:axId val="631205960"/>
        <c:axId val="631209896"/>
      </c:barChart>
      <c:catAx>
        <c:axId val="631205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209896"/>
        <c:crosses val="autoZero"/>
        <c:auto val="1"/>
        <c:lblAlgn val="ctr"/>
        <c:lblOffset val="100"/>
        <c:noMultiLvlLbl val="0"/>
      </c:catAx>
      <c:valAx>
        <c:axId val="631209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2059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solidFill>
                  <a:sysClr val="windowText" lastClr="000000"/>
                </a:solidFill>
              </a:rPr>
              <a:t>Total catch by country-West Atlantic</a:t>
            </a:r>
          </a:p>
          <a:p>
            <a:pPr>
              <a:defRPr/>
            </a:pPr>
            <a:r>
              <a:rPr lang="en-GB">
                <a:solidFill>
                  <a:sysClr val="windowText" lastClr="000000"/>
                </a:solidFill>
              </a:rPr>
              <a:t>1995-2017</a:t>
            </a:r>
          </a:p>
        </c:rich>
      </c:tx>
      <c:layout>
        <c:manualLayout>
          <c:xMode val="edge"/>
          <c:yMode val="edge"/>
          <c:x val="0.22789001860204366"/>
          <c:y val="2.854230377166156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ICCAT_Country_ATW!$T$1</c:f>
              <c:strCache>
                <c:ptCount val="1"/>
                <c:pt idx="0">
                  <c:v>Total catch</c:v>
                </c:pt>
              </c:strCache>
            </c:strRef>
          </c:tx>
          <c:spPr>
            <a:solidFill>
              <a:schemeClr val="tx1"/>
            </a:solidFill>
            <a:ln>
              <a:noFill/>
            </a:ln>
            <a:effectLst/>
          </c:spPr>
          <c:invertIfNegative val="0"/>
          <c:cat>
            <c:strRef>
              <c:f>ICCAT_Country_ATW!$S$2:$S$15</c:f>
              <c:strCache>
                <c:ptCount val="14"/>
                <c:pt idx="0">
                  <c:v>Brazil</c:v>
                </c:pt>
                <c:pt idx="1">
                  <c:v>Canada</c:v>
                </c:pt>
                <c:pt idx="2">
                  <c:v>China Taipei</c:v>
                </c:pt>
                <c:pt idx="3">
                  <c:v>Cuba</c:v>
                </c:pt>
                <c:pt idx="4">
                  <c:v>FR. St Pierre et miquelon</c:v>
                </c:pt>
                <c:pt idx="5">
                  <c:v>Japan</c:v>
                </c:pt>
                <c:pt idx="6">
                  <c:v>Korea</c:v>
                </c:pt>
                <c:pt idx="7">
                  <c:v>Mexico</c:v>
                </c:pt>
                <c:pt idx="8">
                  <c:v>NEI</c:v>
                </c:pt>
                <c:pt idx="9">
                  <c:v>Panama</c:v>
                </c:pt>
                <c:pt idx="10">
                  <c:v>Sta Lucia</c:v>
                </c:pt>
                <c:pt idx="11">
                  <c:v>USA</c:v>
                </c:pt>
                <c:pt idx="12">
                  <c:v>UK Bermuda</c:v>
                </c:pt>
                <c:pt idx="13">
                  <c:v>UK turks and Caico</c:v>
                </c:pt>
              </c:strCache>
            </c:strRef>
          </c:cat>
          <c:val>
            <c:numRef>
              <c:f>ICCAT_Country_ATW!$T$2:$T$15</c:f>
              <c:numCache>
                <c:formatCode>_-* #,##0_-;\-* #,##0_-;_-* "-"??_-;_-@_-</c:formatCode>
                <c:ptCount val="14"/>
                <c:pt idx="0">
                  <c:v>13.6</c:v>
                </c:pt>
                <c:pt idx="1">
                  <c:v>12666.209780000005</c:v>
                </c:pt>
                <c:pt idx="2">
                  <c:v>6.3300099999999997</c:v>
                </c:pt>
                <c:pt idx="3">
                  <c:v>149.72300000000001</c:v>
                </c:pt>
                <c:pt idx="4">
                  <c:v>46.779009999999992</c:v>
                </c:pt>
                <c:pt idx="5">
                  <c:v>8756.3605399999997</c:v>
                </c:pt>
                <c:pt idx="6">
                  <c:v>98.59</c:v>
                </c:pt>
                <c:pt idx="7">
                  <c:v>490.86899000000017</c:v>
                </c:pt>
                <c:pt idx="8">
                  <c:v>748.2</c:v>
                </c:pt>
                <c:pt idx="9">
                  <c:v>0.25</c:v>
                </c:pt>
                <c:pt idx="10">
                  <c:v>12</c:v>
                </c:pt>
                <c:pt idx="11">
                  <c:v>26578.126420000022</c:v>
                </c:pt>
                <c:pt idx="12">
                  <c:v>10.764999999999997</c:v>
                </c:pt>
                <c:pt idx="13">
                  <c:v>0.28899999999999998</c:v>
                </c:pt>
              </c:numCache>
            </c:numRef>
          </c:val>
          <c:extLst>
            <c:ext xmlns:c16="http://schemas.microsoft.com/office/drawing/2014/chart" uri="{C3380CC4-5D6E-409C-BE32-E72D297353CC}">
              <c16:uniqueId val="{00000000-01AA-4EC3-9D1E-4D26C5B2A2BC}"/>
            </c:ext>
          </c:extLst>
        </c:ser>
        <c:dLbls>
          <c:showLegendKey val="0"/>
          <c:showVal val="0"/>
          <c:showCatName val="0"/>
          <c:showSerName val="0"/>
          <c:showPercent val="0"/>
          <c:showBubbleSize val="0"/>
        </c:dLbls>
        <c:gapWidth val="219"/>
        <c:overlap val="-27"/>
        <c:axId val="634393960"/>
        <c:axId val="634403472"/>
      </c:barChart>
      <c:catAx>
        <c:axId val="634393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4403472"/>
        <c:crosses val="autoZero"/>
        <c:auto val="1"/>
        <c:lblAlgn val="ctr"/>
        <c:lblOffset val="100"/>
        <c:noMultiLvlLbl val="0"/>
      </c:catAx>
      <c:valAx>
        <c:axId val="6344034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Tonnes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393960"/>
        <c:crosses val="autoZero"/>
        <c:crossBetween val="between"/>
        <c:majorUnit val="2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4C7F05D0B9CA4F86D0A2279F5CE6A9" ma:contentTypeVersion="5" ma:contentTypeDescription="Create a new document." ma:contentTypeScope="" ma:versionID="d0a4ea9029c9d79e01265826456f2745">
  <xsd:schema xmlns:xsd="http://www.w3.org/2001/XMLSchema" xmlns:xs="http://www.w3.org/2001/XMLSchema" xmlns:p="http://schemas.microsoft.com/office/2006/metadata/properties" xmlns:ns1="http://schemas.microsoft.com/sharepoint/v3" xmlns:ns2="60432312-c29a-4e29-83e1-117ff1016570" xmlns:ns3="edcfda57-cc10-47bb-9b1a-1da3c249b636" targetNamespace="http://schemas.microsoft.com/office/2006/metadata/properties" ma:root="true" ma:fieldsID="0b11db122d269e3b3246d45f8893ce0f" ns1:_="" ns2:_="" ns3:_="">
    <xsd:import namespace="http://schemas.microsoft.com/sharepoint/v3"/>
    <xsd:import namespace="60432312-c29a-4e29-83e1-117ff1016570"/>
    <xsd:import namespace="edcfda57-cc10-47bb-9b1a-1da3c249b636"/>
    <xsd:element name="properties">
      <xsd:complexType>
        <xsd:sequence>
          <xsd:element name="documentManagement">
            <xsd:complexType>
              <xsd:all>
                <xsd:element ref="ns1:PublishingStartDate" minOccurs="0"/>
                <xsd:element ref="ns1:PublishingExpirationDate" minOccurs="0"/>
                <xsd:element ref="ns2:SharedWithUsers" minOccurs="0"/>
                <xsd:element ref="ns3:Display_x0020_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432312-c29a-4e29-83e1-117ff101657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cfda57-cc10-47bb-9b1a-1da3c249b636" elementFormDefault="qualified">
    <xsd:import namespace="http://schemas.microsoft.com/office/2006/documentManagement/types"/>
    <xsd:import namespace="http://schemas.microsoft.com/office/infopath/2007/PartnerControls"/>
    <xsd:element name="Display_x0020_tag" ma:index="11" nillable="true" ma:displayName="Display tag" ma:internalName="Display_x0020_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isplay_x0020_tag xmlns="edcfda57-cc10-47bb-9b1a-1da3c249b636">management</Display_x0020_tag>
  </documentManagement>
</p:properties>
</file>

<file path=customXml/itemProps1.xml><?xml version="1.0" encoding="utf-8"?>
<ds:datastoreItem xmlns:ds="http://schemas.openxmlformats.org/officeDocument/2006/customXml" ds:itemID="{BF6DF9A2-DFE8-4EEF-A086-0506345D17A8}"/>
</file>

<file path=customXml/itemProps2.xml><?xml version="1.0" encoding="utf-8"?>
<ds:datastoreItem xmlns:ds="http://schemas.openxmlformats.org/officeDocument/2006/customXml" ds:itemID="{5B9C95C6-69BA-41AD-8147-E19E71042986}"/>
</file>

<file path=customXml/itemProps3.xml><?xml version="1.0" encoding="utf-8"?>
<ds:datastoreItem xmlns:ds="http://schemas.openxmlformats.org/officeDocument/2006/customXml" ds:itemID="{EBBB85BD-8DF7-47C2-9EB6-A7549BC65D35}"/>
</file>

<file path=customXml/itemProps4.xml><?xml version="1.0" encoding="utf-8"?>
<ds:datastoreItem xmlns:ds="http://schemas.openxmlformats.org/officeDocument/2006/customXml" ds:itemID="{9A92656B-8787-41A0-8BC0-E5469AFB1C3F}"/>
</file>

<file path=docProps/app.xml><?xml version="1.0" encoding="utf-8"?>
<Properties xmlns="http://schemas.openxmlformats.org/officeDocument/2006/extended-properties" xmlns:vt="http://schemas.openxmlformats.org/officeDocument/2006/docPropsVTypes">
  <Template>Normal</Template>
  <TotalTime>1</TotalTime>
  <Pages>22</Pages>
  <Words>9151</Words>
  <Characters>55093</Characters>
  <Application>Microsoft Office Word</Application>
  <DocSecurity>0</DocSecurity>
  <Lines>1311</Lines>
  <Paragraphs>304</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63940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Negar Akbari</dc:creator>
  <cp:keywords/>
  <dc:description/>
  <cp:lastModifiedBy>user</cp:lastModifiedBy>
  <cp:revision>2</cp:revision>
  <cp:lastPrinted>2020-03-05T13:18:00Z</cp:lastPrinted>
  <dcterms:created xsi:type="dcterms:W3CDTF">2021-05-23T15:31:00Z</dcterms:created>
  <dcterms:modified xsi:type="dcterms:W3CDTF">2021-05-23T15:31:00Z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0x0101009A4C7F05D0B9CA4F86D0A2279F5CE6A9</vt:lpwstr>
  </property>
</Properties>
</file>